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702FF" w14:textId="18CEBAEA" w:rsidR="00536042" w:rsidRPr="009A351D" w:rsidRDefault="00536042" w:rsidP="00536042">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Pr>
          <w:rFonts w:cs="Arial"/>
          <w:sz w:val="24"/>
          <w:szCs w:val="24"/>
        </w:rPr>
        <w:t>112bis</w:t>
      </w:r>
      <w:r w:rsidRPr="009A351D">
        <w:rPr>
          <w:rFonts w:cs="Arial"/>
          <w:i/>
          <w:sz w:val="24"/>
          <w:szCs w:val="24"/>
        </w:rPr>
        <w:tab/>
      </w:r>
      <w:r w:rsidRPr="009A351D">
        <w:rPr>
          <w:rFonts w:cs="Arial"/>
          <w:sz w:val="24"/>
          <w:szCs w:val="24"/>
          <w:lang w:val="en-US"/>
        </w:rPr>
        <w:t>R4-</w:t>
      </w:r>
      <w:r w:rsidR="00BA331D">
        <w:rPr>
          <w:rFonts w:cs="Arial"/>
          <w:sz w:val="24"/>
          <w:szCs w:val="24"/>
          <w:lang w:val="en-US"/>
        </w:rPr>
        <w:t>2415742</w:t>
      </w:r>
    </w:p>
    <w:p w14:paraId="4CCAF316" w14:textId="77777777" w:rsidR="00536042" w:rsidRPr="00F34B8C" w:rsidRDefault="00536042" w:rsidP="00536042">
      <w:pPr>
        <w:rPr>
          <w:rFonts w:ascii="Arial" w:eastAsia="宋体" w:hAnsi="Arial" w:cs="Arial"/>
          <w:b/>
          <w:noProof/>
          <w:sz w:val="24"/>
          <w:szCs w:val="24"/>
          <w:lang w:val="en-US" w:eastAsia="zh-CN"/>
        </w:rPr>
      </w:pPr>
      <w:r w:rsidRPr="00F34B8C">
        <w:rPr>
          <w:rFonts w:ascii="Arial" w:eastAsia="宋体" w:hAnsi="Arial" w:cs="Arial"/>
          <w:b/>
          <w:noProof/>
          <w:sz w:val="24"/>
          <w:szCs w:val="24"/>
          <w:lang w:val="en-US" w:eastAsia="zh-CN"/>
        </w:rPr>
        <w:t>Hefei, Anhui, China, 14</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 18</w:t>
      </w:r>
      <w:r w:rsidRPr="00F34B8C">
        <w:rPr>
          <w:rFonts w:ascii="Arial" w:eastAsia="宋体" w:hAnsi="Arial" w:cs="Arial"/>
          <w:b/>
          <w:noProof/>
          <w:sz w:val="24"/>
          <w:szCs w:val="24"/>
          <w:vertAlign w:val="superscript"/>
          <w:lang w:val="en-US" w:eastAsia="zh-CN"/>
        </w:rPr>
        <w:t>th</w:t>
      </w:r>
      <w:r w:rsidRPr="00F34B8C">
        <w:rPr>
          <w:rFonts w:ascii="Arial" w:eastAsia="宋体" w:hAnsi="Arial" w:cs="Arial"/>
          <w:b/>
          <w:noProof/>
          <w:sz w:val="24"/>
          <w:szCs w:val="24"/>
          <w:lang w:val="en-US" w:eastAsia="zh-CN"/>
        </w:rPr>
        <w:t xml:space="preserve"> October, 2024</w:t>
      </w:r>
    </w:p>
    <w:p w14:paraId="06F804A0" w14:textId="77777777" w:rsidR="001F5D6A" w:rsidRPr="00275694" w:rsidRDefault="0026008D" w:rsidP="0026008D">
      <w:pPr>
        <w:tabs>
          <w:tab w:val="left" w:pos="6325"/>
        </w:tabs>
        <w:rPr>
          <w:rFonts w:eastAsia="宋体"/>
          <w:lang w:eastAsia="zh-CN"/>
        </w:rPr>
      </w:pPr>
      <w:r>
        <w:rPr>
          <w:rFonts w:eastAsia="宋体"/>
          <w:lang w:eastAsia="zh-CN"/>
        </w:rPr>
        <w:tab/>
      </w:r>
    </w:p>
    <w:p w14:paraId="73D61DB4"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83E6957" w14:textId="77777777"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C5766" w:rsidRPr="00EC5766">
        <w:rPr>
          <w:rFonts w:ascii="Arial" w:hAnsi="Arial" w:cs="Arial"/>
          <w:sz w:val="22"/>
        </w:rPr>
        <w:t xml:space="preserve">Further discussion on HPUE for intra-band contiguous and non-contiguous CA </w:t>
      </w:r>
    </w:p>
    <w:p w14:paraId="0D5C1EA0" w14:textId="105839D6"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536042">
        <w:rPr>
          <w:rFonts w:ascii="Arial" w:hAnsi="Arial" w:cs="Arial"/>
          <w:sz w:val="22"/>
          <w:lang w:val="en-US"/>
        </w:rPr>
        <w:t>6</w:t>
      </w:r>
      <w:r w:rsidR="00EC5766">
        <w:rPr>
          <w:rFonts w:ascii="Arial" w:hAnsi="Arial" w:cs="Arial"/>
          <w:sz w:val="22"/>
          <w:lang w:val="en-US"/>
        </w:rPr>
        <w:t>.1.1.</w:t>
      </w:r>
      <w:r w:rsidR="00EC1A50">
        <w:rPr>
          <w:rFonts w:ascii="Arial" w:hAnsi="Arial" w:cs="Arial"/>
          <w:sz w:val="22"/>
          <w:lang w:val="en-US"/>
        </w:rPr>
        <w:t>1</w:t>
      </w:r>
      <w:r w:rsidR="00EC5766">
        <w:rPr>
          <w:rFonts w:ascii="Arial" w:hAnsi="Arial" w:cs="Arial"/>
          <w:sz w:val="22"/>
          <w:lang w:val="en-US"/>
        </w:rPr>
        <w:t>.</w:t>
      </w:r>
      <w:r w:rsidR="00A30DE1">
        <w:rPr>
          <w:rFonts w:ascii="Arial" w:hAnsi="Arial" w:cs="Arial"/>
          <w:sz w:val="22"/>
          <w:lang w:val="en-US"/>
        </w:rPr>
        <w:t xml:space="preserve">2     </w:t>
      </w:r>
    </w:p>
    <w:p w14:paraId="220FA8E2"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4DCEA7E3" w14:textId="77777777" w:rsidR="00FC0076" w:rsidRDefault="00E52C47" w:rsidP="004065E5">
      <w:pPr>
        <w:pStyle w:val="1"/>
        <w:rPr>
          <w:rFonts w:eastAsia="宋体"/>
          <w:lang w:eastAsia="zh-CN"/>
        </w:rPr>
      </w:pPr>
      <w:r>
        <w:rPr>
          <w:rFonts w:eastAsia="宋体" w:hint="eastAsia"/>
          <w:lang w:eastAsia="zh-CN"/>
        </w:rPr>
        <w:t>Introduction</w:t>
      </w:r>
    </w:p>
    <w:p w14:paraId="0C0B9BBD" w14:textId="22790C04" w:rsidR="007223D0" w:rsidRPr="00CD1BB9" w:rsidRDefault="000E0647" w:rsidP="000E0647">
      <w:pPr>
        <w:jc w:val="both"/>
        <w:rPr>
          <w:rFonts w:eastAsia="等线"/>
          <w:lang w:eastAsia="zh-CN"/>
        </w:rPr>
      </w:pPr>
      <w:r>
        <w:rPr>
          <w:rFonts w:eastAsia="等线"/>
          <w:lang w:eastAsia="zh-CN"/>
        </w:rPr>
        <w:t xml:space="preserve">In the last meeting, RAN4 </w:t>
      </w:r>
      <w:r w:rsidR="00346CA6">
        <w:rPr>
          <w:rFonts w:eastAsia="等线"/>
          <w:lang w:eastAsia="zh-CN"/>
        </w:rPr>
        <w:t xml:space="preserve">discussed </w:t>
      </w:r>
      <w:r w:rsidR="003D7E74">
        <w:rPr>
          <w:rFonts w:eastAsia="等线"/>
          <w:lang w:eastAsia="zh-CN"/>
        </w:rPr>
        <w:t xml:space="preserve">MPR evaluation methodology and </w:t>
      </w:r>
      <w:proofErr w:type="spellStart"/>
      <w:proofErr w:type="gramStart"/>
      <w:r w:rsidR="003D7E74">
        <w:rPr>
          <w:rFonts w:eastAsia="等线"/>
          <w:lang w:eastAsia="zh-CN"/>
        </w:rPr>
        <w:t>Pcmax,c</w:t>
      </w:r>
      <w:proofErr w:type="spellEnd"/>
      <w:proofErr w:type="gramEnd"/>
      <w:r w:rsidR="003D7E74">
        <w:rPr>
          <w:rFonts w:eastAsia="等线"/>
          <w:lang w:eastAsia="zh-CN"/>
        </w:rPr>
        <w:t>/</w:t>
      </w:r>
      <w:proofErr w:type="spellStart"/>
      <w:r w:rsidR="003D7E74">
        <w:rPr>
          <w:rFonts w:eastAsia="等线"/>
          <w:lang w:eastAsia="zh-CN"/>
        </w:rPr>
        <w:t>Pcmax</w:t>
      </w:r>
      <w:proofErr w:type="spellEnd"/>
      <w:r w:rsidR="003D7E74">
        <w:rPr>
          <w:rFonts w:eastAsia="等线"/>
          <w:lang w:eastAsia="zh-CN"/>
        </w:rPr>
        <w:t xml:space="preserve"> </w:t>
      </w:r>
      <w:r w:rsidR="003D7E74">
        <w:rPr>
          <w:rFonts w:eastAsia="等线" w:hint="eastAsia"/>
          <w:lang w:eastAsia="zh-CN"/>
        </w:rPr>
        <w:t>issue</w:t>
      </w:r>
      <w:r>
        <w:rPr>
          <w:rFonts w:eastAsia="等线"/>
          <w:lang w:eastAsia="zh-CN"/>
        </w:rPr>
        <w:t xml:space="preserve"> on PC1.5 for intra-band contiguous and non-contiguous and the WF was captured in [</w:t>
      </w:r>
      <w:r w:rsidR="002648C0">
        <w:rPr>
          <w:rFonts w:eastAsia="等线"/>
          <w:lang w:eastAsia="zh-CN"/>
        </w:rPr>
        <w:t>1</w:t>
      </w:r>
      <w:r>
        <w:rPr>
          <w:rFonts w:eastAsia="等线"/>
          <w:lang w:eastAsia="zh-CN"/>
        </w:rPr>
        <w:t>]. In this contribution, we will continue on the discussion on PC1.5 for intra-band contiguous and non-contiguous CA.</w:t>
      </w:r>
    </w:p>
    <w:p w14:paraId="2F7FDA14" w14:textId="229A03B7" w:rsidR="00F701CA" w:rsidRPr="005430FE" w:rsidRDefault="00853ECB" w:rsidP="00F701CA">
      <w:pPr>
        <w:pStyle w:val="1"/>
        <w:rPr>
          <w:rFonts w:eastAsia="宋体"/>
          <w:lang w:eastAsia="zh-CN"/>
        </w:rPr>
      </w:pPr>
      <w:r>
        <w:rPr>
          <w:rFonts w:eastAsia="宋体" w:hint="eastAsia"/>
          <w:lang w:eastAsia="zh-CN"/>
        </w:rPr>
        <w:t>Discussion</w:t>
      </w:r>
    </w:p>
    <w:p w14:paraId="56DE069C" w14:textId="4DE56518" w:rsidR="002A0081" w:rsidRDefault="00950D95" w:rsidP="00BC3E24">
      <w:pPr>
        <w:pStyle w:val="2"/>
        <w:spacing w:after="240"/>
        <w:rPr>
          <w:rFonts w:eastAsia="等线"/>
          <w:lang w:eastAsia="zh-CN"/>
        </w:rPr>
      </w:pPr>
      <w:r>
        <w:rPr>
          <w:rFonts w:eastAsia="等线"/>
          <w:lang w:eastAsia="zh-CN"/>
        </w:rPr>
        <w:t xml:space="preserve">MPR </w:t>
      </w:r>
      <w:r w:rsidR="00052BD8">
        <w:rPr>
          <w:rFonts w:eastAsia="等线"/>
          <w:lang w:eastAsia="zh-CN"/>
        </w:rPr>
        <w:t>analysis</w:t>
      </w:r>
    </w:p>
    <w:p w14:paraId="650F08E7" w14:textId="119B3F8D" w:rsidR="003379E7" w:rsidRDefault="003379E7" w:rsidP="00052BD8">
      <w:pPr>
        <w:rPr>
          <w:rFonts w:eastAsia="等线"/>
          <w:lang w:eastAsia="zh-CN"/>
        </w:rPr>
      </w:pPr>
      <w:r>
        <w:rPr>
          <w:rFonts w:eastAsia="等线"/>
          <w:lang w:eastAsia="zh-CN"/>
        </w:rPr>
        <w:t xml:space="preserve">MPR evaluation </w:t>
      </w:r>
      <w:r>
        <w:rPr>
          <w:rFonts w:eastAsia="等线" w:hint="eastAsia"/>
          <w:lang w:eastAsia="zh-CN"/>
        </w:rPr>
        <w:t>is</w:t>
      </w:r>
      <w:r>
        <w:rPr>
          <w:rFonts w:eastAsia="等线"/>
          <w:lang w:eastAsia="zh-CN"/>
        </w:rPr>
        <w:t xml:space="preserve"> one of the remaining issues for PC1.5 intra-band contiguous and non-contiguous CA. The WF for MPR evaluation was captured as follows:</w:t>
      </w:r>
    </w:p>
    <w:tbl>
      <w:tblPr>
        <w:tblStyle w:val="aff0"/>
        <w:tblW w:w="0" w:type="auto"/>
        <w:tblLook w:val="04A0" w:firstRow="1" w:lastRow="0" w:firstColumn="1" w:lastColumn="0" w:noHBand="0" w:noVBand="1"/>
      </w:tblPr>
      <w:tblGrid>
        <w:gridCol w:w="9631"/>
      </w:tblGrid>
      <w:tr w:rsidR="00ED1F4E" w14:paraId="47F6B5E0" w14:textId="77777777" w:rsidTr="00ED1F4E">
        <w:tc>
          <w:tcPr>
            <w:tcW w:w="9631" w:type="dxa"/>
          </w:tcPr>
          <w:p w14:paraId="2A8B1ACF" w14:textId="77777777" w:rsidR="00ED1F4E" w:rsidRPr="00CD6CE0" w:rsidRDefault="00ED1F4E" w:rsidP="00ED1F4E">
            <w:pPr>
              <w:pStyle w:val="2"/>
              <w:numPr>
                <w:ilvl w:val="0"/>
                <w:numId w:val="0"/>
              </w:numPr>
              <w:spacing w:after="240"/>
              <w:outlineLvl w:val="1"/>
              <w:rPr>
                <w:sz w:val="24"/>
                <w:lang w:eastAsia="zh-CN"/>
              </w:rPr>
            </w:pPr>
            <w:r>
              <w:rPr>
                <w:sz w:val="24"/>
              </w:rPr>
              <w:t>1</w:t>
            </w:r>
            <w:r w:rsidRPr="00431D02">
              <w:rPr>
                <w:sz w:val="24"/>
              </w:rPr>
              <w:t xml:space="preserve">.1 </w:t>
            </w:r>
            <w:r w:rsidRPr="00924551">
              <w:rPr>
                <w:sz w:val="24"/>
              </w:rPr>
              <w:t>MPR evaluation methodology and assumption</w:t>
            </w:r>
          </w:p>
          <w:p w14:paraId="35903A1C" w14:textId="77777777" w:rsidR="00ED1F4E" w:rsidRPr="00BC4B28" w:rsidRDefault="00ED1F4E" w:rsidP="00ED1F4E">
            <w:pPr>
              <w:rPr>
                <w:rFonts w:eastAsiaTheme="minorEastAsia"/>
                <w:b/>
                <w:bCs/>
              </w:rPr>
            </w:pPr>
            <w:r w:rsidRPr="00BC4B28">
              <w:rPr>
                <w:rFonts w:eastAsiaTheme="minorEastAsia"/>
                <w:b/>
                <w:bCs/>
              </w:rPr>
              <w:t xml:space="preserve">Online agreement: </w:t>
            </w:r>
          </w:p>
          <w:p w14:paraId="791225E0" w14:textId="77777777" w:rsidR="00ED1F4E" w:rsidRPr="00BC4B28" w:rsidRDefault="00ED1F4E" w:rsidP="00ED1F4E">
            <w:pPr>
              <w:pStyle w:val="afff5"/>
              <w:numPr>
                <w:ilvl w:val="0"/>
                <w:numId w:val="31"/>
              </w:numPr>
              <w:contextualSpacing w:val="0"/>
              <w:rPr>
                <w:rFonts w:eastAsiaTheme="minorEastAsia"/>
              </w:rPr>
            </w:pPr>
            <w:r w:rsidRPr="00BC4B28">
              <w:t xml:space="preserve">MPR and CANS_04 A-MPR studies for PC1.5 contiguous intra-band ULCA focusses on </w:t>
            </w:r>
            <w:proofErr w:type="spellStart"/>
            <w:r w:rsidRPr="00BC4B28">
              <w:t>TxD</w:t>
            </w:r>
            <w:proofErr w:type="spellEnd"/>
            <w:r w:rsidRPr="00BC4B28">
              <w:t xml:space="preserve"> architecture and may account for PSD imbalance with up to 6dB.</w:t>
            </w:r>
          </w:p>
          <w:p w14:paraId="4843FD2F" w14:textId="77777777" w:rsidR="00ED1F4E" w:rsidRPr="00BC4B28" w:rsidRDefault="00ED1F4E" w:rsidP="00ED1F4E">
            <w:pPr>
              <w:pStyle w:val="afff5"/>
              <w:numPr>
                <w:ilvl w:val="1"/>
                <w:numId w:val="31"/>
              </w:numPr>
              <w:contextualSpacing w:val="0"/>
              <w:rPr>
                <w:rFonts w:eastAsiaTheme="minorEastAsia"/>
              </w:rPr>
            </w:pPr>
            <w:r w:rsidRPr="00BC4B28">
              <w:rPr>
                <w:rFonts w:eastAsiaTheme="minorEastAsia" w:hint="eastAsia"/>
              </w:rPr>
              <w:t>F</w:t>
            </w:r>
            <w:r w:rsidRPr="00BC4B28">
              <w:rPr>
                <w:rFonts w:eastAsiaTheme="minorEastAsia"/>
              </w:rPr>
              <w:t>FS on whether to define the requirements based on equal PSD or PSD imbalance with 6dB</w:t>
            </w:r>
          </w:p>
          <w:p w14:paraId="7354C2D2" w14:textId="77777777" w:rsidR="00ED1F4E" w:rsidRPr="00BC4B28" w:rsidRDefault="00ED1F4E" w:rsidP="00ED1F4E">
            <w:pPr>
              <w:pStyle w:val="afff5"/>
              <w:numPr>
                <w:ilvl w:val="0"/>
                <w:numId w:val="31"/>
              </w:numPr>
              <w:contextualSpacing w:val="0"/>
              <w:rPr>
                <w:rFonts w:eastAsiaTheme="minorEastAsia"/>
              </w:rPr>
            </w:pPr>
            <w:r w:rsidRPr="00BC4B28">
              <w:t xml:space="preserve">PC1.5 contiguous intra-band ULCA based on </w:t>
            </w:r>
            <w:proofErr w:type="spellStart"/>
            <w:r w:rsidRPr="00BC4B28">
              <w:t>dualPA</w:t>
            </w:r>
            <w:proofErr w:type="spellEnd"/>
            <w:r w:rsidRPr="00BC4B28">
              <w:t xml:space="preserve"> architecture with two LOs is not specified in R19</w:t>
            </w:r>
          </w:p>
          <w:p w14:paraId="15C2EED3" w14:textId="77777777" w:rsidR="00ED1F4E" w:rsidRPr="00BC4B28" w:rsidRDefault="00ED1F4E" w:rsidP="00ED1F4E">
            <w:pPr>
              <w:pStyle w:val="afff5"/>
              <w:numPr>
                <w:ilvl w:val="0"/>
                <w:numId w:val="31"/>
              </w:numPr>
              <w:contextualSpacing w:val="0"/>
              <w:rPr>
                <w:rFonts w:eastAsiaTheme="minorEastAsia"/>
              </w:rPr>
            </w:pPr>
            <w:r w:rsidRPr="00BC4B28">
              <w:t xml:space="preserve">MPR studies for PC1.5 non-contiguous intra-band ULCA focusses on </w:t>
            </w:r>
            <w:proofErr w:type="spellStart"/>
            <w:r w:rsidRPr="00BC4B28">
              <w:t>dualPA</w:t>
            </w:r>
            <w:proofErr w:type="spellEnd"/>
            <w:r w:rsidRPr="00BC4B28">
              <w:t xml:space="preserve"> architecture with two LOs and may account for PSD imbalance with up to 6dB.</w:t>
            </w:r>
          </w:p>
          <w:p w14:paraId="7250C3EE" w14:textId="77777777" w:rsidR="00ED1F4E" w:rsidRPr="00BC4B28" w:rsidRDefault="00ED1F4E" w:rsidP="00ED1F4E">
            <w:pPr>
              <w:pStyle w:val="afff5"/>
              <w:numPr>
                <w:ilvl w:val="1"/>
                <w:numId w:val="31"/>
              </w:numPr>
              <w:contextualSpacing w:val="0"/>
              <w:rPr>
                <w:rFonts w:eastAsiaTheme="minorEastAsia"/>
              </w:rPr>
            </w:pPr>
            <w:r w:rsidRPr="00BC4B28">
              <w:rPr>
                <w:rFonts w:eastAsiaTheme="minorEastAsia" w:hint="eastAsia"/>
              </w:rPr>
              <w:t>F</w:t>
            </w:r>
            <w:r w:rsidRPr="00BC4B28">
              <w:rPr>
                <w:rFonts w:eastAsiaTheme="minorEastAsia"/>
              </w:rPr>
              <w:t>FS on whether to define the requirements based on equal PSD or PSD imbalance with 6dB</w:t>
            </w:r>
          </w:p>
          <w:p w14:paraId="1F7972E8" w14:textId="77777777" w:rsidR="00ED1F4E" w:rsidRPr="00BC4B28" w:rsidRDefault="00ED1F4E" w:rsidP="00ED1F4E">
            <w:pPr>
              <w:pStyle w:val="afff5"/>
              <w:numPr>
                <w:ilvl w:val="0"/>
                <w:numId w:val="31"/>
              </w:numPr>
              <w:contextualSpacing w:val="0"/>
            </w:pPr>
            <w:r w:rsidRPr="00BC4B28">
              <w:t xml:space="preserve">PC1.5 non-contiguous intra-band ULCA based on </w:t>
            </w:r>
            <w:proofErr w:type="spellStart"/>
            <w:r w:rsidRPr="00BC4B28">
              <w:t>TxD</w:t>
            </w:r>
            <w:proofErr w:type="spellEnd"/>
            <w:r w:rsidRPr="00BC4B28">
              <w:t xml:space="preserve"> architecture is not specified in R19</w:t>
            </w:r>
          </w:p>
          <w:p w14:paraId="3CF2C184" w14:textId="77777777" w:rsidR="00ED1F4E" w:rsidRDefault="00ED1F4E" w:rsidP="00052BD8">
            <w:pPr>
              <w:rPr>
                <w:rFonts w:eastAsia="等线"/>
                <w:lang w:eastAsia="zh-CN"/>
              </w:rPr>
            </w:pPr>
          </w:p>
        </w:tc>
      </w:tr>
    </w:tbl>
    <w:p w14:paraId="7546A5DF" w14:textId="672CB233" w:rsidR="003F00CE" w:rsidRPr="003F00CE" w:rsidRDefault="003379E7" w:rsidP="00BA331D">
      <w:pPr>
        <w:jc w:val="both"/>
        <w:rPr>
          <w:rFonts w:eastAsia="等线"/>
          <w:lang w:val="en-US" w:eastAsia="zh-CN"/>
        </w:rPr>
      </w:pPr>
      <w:r>
        <w:rPr>
          <w:rFonts w:eastAsia="等线"/>
          <w:lang w:eastAsia="zh-CN"/>
        </w:rPr>
        <w:t>In the last meeting, there were MPR value proposals based on simulation and analysis. MPR simulation didn’t consider the reverse IMD introduce by multiple Tx, and some additional MPR margin was added to derive the final MPR results. MPR analysis was conducted based on existing PC 1.5 single CC MPR and PC2 single CC and contiguous UL CA MPR.</w:t>
      </w:r>
      <w:r w:rsidR="00FD3A37">
        <w:rPr>
          <w:rFonts w:eastAsia="等线"/>
          <w:lang w:eastAsia="zh-CN"/>
        </w:rPr>
        <w:t xml:space="preserve"> </w:t>
      </w:r>
      <w:r w:rsidR="00FD3A37">
        <w:rPr>
          <w:rFonts w:eastAsia="等线" w:hint="eastAsia"/>
          <w:lang w:eastAsia="zh-CN"/>
        </w:rPr>
        <w:t>The</w:t>
      </w:r>
      <w:r w:rsidR="00FD3A37">
        <w:rPr>
          <w:rFonts w:eastAsia="等线"/>
          <w:lang w:eastAsia="zh-CN"/>
        </w:rPr>
        <w:t xml:space="preserve"> concept of derivation of PC1.5 contiguous UL CA MPR was well explained in [2]</w:t>
      </w:r>
      <w:r w:rsidR="00216B5E">
        <w:rPr>
          <w:rFonts w:eastAsia="等线"/>
          <w:lang w:eastAsia="zh-CN"/>
        </w:rPr>
        <w:t xml:space="preserve"> and </w:t>
      </w:r>
      <w:r w:rsidR="003F00CE">
        <w:rPr>
          <w:rFonts w:eastAsia="等线"/>
          <w:lang w:eastAsia="zh-CN"/>
        </w:rPr>
        <w:t>we thought it was reasonable</w:t>
      </w:r>
      <w:r w:rsidR="00216B5E">
        <w:rPr>
          <w:rFonts w:eastAsia="等线"/>
          <w:lang w:eastAsia="zh-CN"/>
        </w:rPr>
        <w:t xml:space="preserve"> since we think the RF architecture extensions are similar for PC2 and PC1.5 single carrier and UL </w:t>
      </w:r>
      <w:r w:rsidR="00216B5E">
        <w:rPr>
          <w:rFonts w:eastAsia="等线" w:hint="eastAsia"/>
          <w:lang w:eastAsia="zh-CN"/>
        </w:rPr>
        <w:t>contiguous</w:t>
      </w:r>
      <w:r w:rsidR="00216B5E">
        <w:rPr>
          <w:rFonts w:eastAsia="等线"/>
          <w:lang w:eastAsia="zh-CN"/>
        </w:rPr>
        <w:t xml:space="preserve"> </w:t>
      </w:r>
      <w:r w:rsidR="00216B5E">
        <w:rPr>
          <w:rFonts w:eastAsia="等线" w:hint="eastAsia"/>
          <w:lang w:eastAsia="zh-CN"/>
        </w:rPr>
        <w:t>CA</w:t>
      </w:r>
      <w:r w:rsidR="00FD3A37">
        <w:rPr>
          <w:rFonts w:eastAsia="等线"/>
          <w:lang w:eastAsia="zh-CN"/>
        </w:rPr>
        <w:t>.</w:t>
      </w:r>
      <w:r>
        <w:rPr>
          <w:rFonts w:eastAsia="等线"/>
          <w:lang w:eastAsia="zh-CN"/>
        </w:rPr>
        <w:t xml:space="preserve"> </w:t>
      </w:r>
      <w:r w:rsidR="003F00CE">
        <w:rPr>
          <w:rFonts w:eastAsia="等线"/>
          <w:lang w:eastAsia="zh-CN"/>
        </w:rPr>
        <w:t xml:space="preserve">PC1.5 2Tx CA MPR can be derived using PC2 2Tx CA MPR with addition of MPR offset between PC1.5 2Tx </w:t>
      </w:r>
      <w:r w:rsidR="003F00CE">
        <w:rPr>
          <w:rFonts w:eastAsia="等线" w:hint="eastAsia"/>
          <w:lang w:eastAsia="zh-CN"/>
        </w:rPr>
        <w:t>single</w:t>
      </w:r>
      <w:r w:rsidR="003F00CE">
        <w:rPr>
          <w:rFonts w:eastAsia="等线"/>
          <w:lang w:eastAsia="zh-CN"/>
        </w:rPr>
        <w:t xml:space="preserve"> </w:t>
      </w:r>
      <w:r w:rsidR="003F00CE">
        <w:rPr>
          <w:rFonts w:eastAsia="等线" w:hint="eastAsia"/>
          <w:lang w:eastAsia="zh-CN"/>
        </w:rPr>
        <w:t>carrier</w:t>
      </w:r>
      <w:r w:rsidR="003F00CE">
        <w:rPr>
          <w:rFonts w:eastAsia="等线"/>
          <w:lang w:eastAsia="zh-CN"/>
        </w:rPr>
        <w:t xml:space="preserve"> </w:t>
      </w:r>
      <w:r w:rsidR="003F00CE">
        <w:rPr>
          <w:rFonts w:eastAsia="等线" w:hint="eastAsia"/>
          <w:lang w:eastAsia="zh-CN"/>
        </w:rPr>
        <w:t>MPR</w:t>
      </w:r>
      <w:r w:rsidR="003F00CE">
        <w:rPr>
          <w:rFonts w:eastAsia="等线"/>
          <w:lang w:eastAsia="zh-CN"/>
        </w:rPr>
        <w:t xml:space="preserve"> and PC2 2Tx single carrier MPR, which can be shown in the following equation. </w:t>
      </w:r>
      <w:r w:rsidR="003F00CE">
        <w:rPr>
          <w:rFonts w:eastAsia="等线"/>
          <w:lang w:val="en-US" w:eastAsia="zh-CN"/>
        </w:rPr>
        <w:t>This equation is quite aligned with the concept in [2].</w:t>
      </w:r>
    </w:p>
    <w:p w14:paraId="199880C9" w14:textId="63311735" w:rsidR="003F00CE" w:rsidRPr="00216B5E" w:rsidRDefault="003F00CE" w:rsidP="003F00CE">
      <w:pPr>
        <w:jc w:val="center"/>
        <w:rPr>
          <w:rFonts w:eastAsia="等线"/>
          <w:lang w:val="en-US" w:eastAsia="zh-CN"/>
        </w:rPr>
      </w:pPr>
      <w:r w:rsidRPr="00216B5E">
        <w:rPr>
          <w:rFonts w:eastAsia="等线" w:hint="eastAsia"/>
          <w:lang w:val="en-US" w:eastAsia="zh-CN"/>
        </w:rPr>
        <w:t>PC1.5 2Tx CA</w:t>
      </w:r>
      <w:r>
        <w:rPr>
          <w:rFonts w:eastAsia="等线"/>
          <w:lang w:val="en-US" w:eastAsia="zh-CN"/>
        </w:rPr>
        <w:t xml:space="preserve"> MPR</w:t>
      </w:r>
      <w:r w:rsidRPr="00216B5E">
        <w:rPr>
          <w:rFonts w:eastAsia="等线" w:hint="eastAsia"/>
          <w:lang w:val="en-US" w:eastAsia="zh-CN"/>
        </w:rPr>
        <w:t xml:space="preserve"> ~= PC2 2Tx CA</w:t>
      </w:r>
      <w:r>
        <w:rPr>
          <w:rFonts w:eastAsia="等线"/>
          <w:lang w:val="en-US" w:eastAsia="zh-CN"/>
        </w:rPr>
        <w:t xml:space="preserve"> MPR</w:t>
      </w:r>
      <w:r w:rsidRPr="00216B5E">
        <w:rPr>
          <w:rFonts w:eastAsia="等线" w:hint="eastAsia"/>
          <w:lang w:val="en-US" w:eastAsia="zh-CN"/>
        </w:rPr>
        <w:t xml:space="preserve"> + [PC1.5 2Tx SC</w:t>
      </w:r>
      <w:r>
        <w:rPr>
          <w:rFonts w:eastAsia="等线"/>
          <w:lang w:val="en-US" w:eastAsia="zh-CN"/>
        </w:rPr>
        <w:t xml:space="preserve"> MPR</w:t>
      </w:r>
      <w:r w:rsidRPr="00216B5E">
        <w:rPr>
          <w:rFonts w:eastAsia="等线" w:hint="eastAsia"/>
          <w:lang w:val="en-US" w:eastAsia="zh-CN"/>
        </w:rPr>
        <w:t xml:space="preserve"> - PC2 2Tx SC</w:t>
      </w:r>
      <w:r>
        <w:rPr>
          <w:rFonts w:eastAsia="等线"/>
          <w:lang w:val="en-US" w:eastAsia="zh-CN"/>
        </w:rPr>
        <w:t xml:space="preserve"> MPR</w:t>
      </w:r>
      <w:r w:rsidRPr="00216B5E">
        <w:rPr>
          <w:rFonts w:eastAsia="等线" w:hint="eastAsia"/>
          <w:lang w:val="en-US" w:eastAsia="zh-CN"/>
        </w:rPr>
        <w:t>]</w:t>
      </w:r>
    </w:p>
    <w:p w14:paraId="2A9EAD8A" w14:textId="1ED1D76B" w:rsidR="00546EFC" w:rsidRDefault="003379E7" w:rsidP="00E21CC9">
      <w:pPr>
        <w:jc w:val="both"/>
        <w:rPr>
          <w:rFonts w:eastAsia="等线"/>
          <w:lang w:eastAsia="zh-CN"/>
        </w:rPr>
      </w:pPr>
      <w:r>
        <w:rPr>
          <w:rFonts w:eastAsia="等线"/>
          <w:lang w:eastAsia="zh-CN"/>
        </w:rPr>
        <w:t xml:space="preserve">The benefit of this analysis is that it saves a lot of simulation or measurement efforts and the results are of some degree reasonable. </w:t>
      </w:r>
      <w:r w:rsidR="00546EFC">
        <w:rPr>
          <w:rFonts w:eastAsia="等线"/>
          <w:lang w:eastAsia="zh-CN"/>
        </w:rPr>
        <w:t>For now, there w</w:t>
      </w:r>
      <w:r w:rsidR="009261DD">
        <w:rPr>
          <w:rFonts w:eastAsia="等线"/>
          <w:lang w:eastAsia="zh-CN"/>
        </w:rPr>
        <w:t>ere</w:t>
      </w:r>
      <w:r w:rsidR="00546EFC">
        <w:rPr>
          <w:rFonts w:eastAsia="等线"/>
          <w:lang w:eastAsia="zh-CN"/>
        </w:rPr>
        <w:t xml:space="preserve"> no MPR measurements for PC 1.5 UL CA yet. For MPR measurements, it requires a lot of PA set up, RF parameters set up, and baseband set up before the measurements. In my understanding, only few </w:t>
      </w:r>
      <w:r w:rsidR="00546EFC">
        <w:rPr>
          <w:rFonts w:eastAsia="等线" w:hint="eastAsia"/>
          <w:lang w:eastAsia="zh-CN"/>
        </w:rPr>
        <w:t>companies</w:t>
      </w:r>
      <w:r w:rsidR="00546EFC">
        <w:rPr>
          <w:rFonts w:eastAsia="等线"/>
          <w:lang w:eastAsia="zh-CN"/>
        </w:rPr>
        <w:t xml:space="preserve"> </w:t>
      </w:r>
      <w:r w:rsidR="00546EFC">
        <w:rPr>
          <w:rFonts w:eastAsia="等线" w:hint="eastAsia"/>
          <w:lang w:eastAsia="zh-CN"/>
        </w:rPr>
        <w:t>can</w:t>
      </w:r>
      <w:r w:rsidR="00546EFC">
        <w:rPr>
          <w:rFonts w:eastAsia="等线"/>
          <w:lang w:eastAsia="zh-CN"/>
        </w:rPr>
        <w:t xml:space="preserve"> </w:t>
      </w:r>
      <w:r w:rsidR="00546EFC">
        <w:rPr>
          <w:rFonts w:eastAsia="等线" w:hint="eastAsia"/>
          <w:lang w:eastAsia="zh-CN"/>
        </w:rPr>
        <w:t>do</w:t>
      </w:r>
      <w:r w:rsidR="00546EFC">
        <w:rPr>
          <w:rFonts w:eastAsia="等线"/>
          <w:lang w:eastAsia="zh-CN"/>
        </w:rPr>
        <w:t xml:space="preserve"> the measurements and derive MPR results. Also, different companies may provide results with </w:t>
      </w:r>
      <w:r w:rsidR="00546EFC">
        <w:rPr>
          <w:rFonts w:eastAsia="等线"/>
          <w:lang w:eastAsia="zh-CN"/>
        </w:rPr>
        <w:lastRenderedPageBreak/>
        <w:t>difference because of different measurement setups, which are hard to align. Therefore, we propose MPR analysis</w:t>
      </w:r>
      <w:r w:rsidR="00216B5E">
        <w:rPr>
          <w:rFonts w:eastAsia="等线"/>
          <w:lang w:eastAsia="zh-CN"/>
        </w:rPr>
        <w:t xml:space="preserve"> in [2]</w:t>
      </w:r>
      <w:r w:rsidR="00546EFC">
        <w:rPr>
          <w:rFonts w:eastAsia="等线"/>
          <w:lang w:eastAsia="zh-CN"/>
        </w:rPr>
        <w:t xml:space="preserve"> as a starting point using exiting PC1</w:t>
      </w:r>
      <w:r w:rsidR="00216B5E">
        <w:rPr>
          <w:rFonts w:eastAsia="等线"/>
          <w:lang w:eastAsia="zh-CN"/>
        </w:rPr>
        <w:t>.5</w:t>
      </w:r>
      <w:r w:rsidR="00546EFC">
        <w:rPr>
          <w:rFonts w:eastAsia="等线"/>
          <w:lang w:eastAsia="zh-CN"/>
        </w:rPr>
        <w:t xml:space="preserve"> single carrier and PC2 MPR data. Of course, simulation and measurement MPR results can further modify the MPR results calculated using exiting PC1 single carrier and PC2 MPR data.</w:t>
      </w:r>
    </w:p>
    <w:p w14:paraId="4530DEE6" w14:textId="223E1DDB" w:rsidR="00D00C86" w:rsidRPr="00E21CC9" w:rsidRDefault="00D00C86" w:rsidP="00950D95">
      <w:pPr>
        <w:rPr>
          <w:rFonts w:eastAsia="等线" w:hint="eastAsia"/>
          <w:lang w:eastAsia="zh-CN"/>
        </w:rPr>
      </w:pPr>
      <w:bookmarkStart w:id="2" w:name="_Hlk179192084"/>
      <w:r w:rsidRPr="00B359EB">
        <w:rPr>
          <w:rFonts w:eastAsia="等线" w:hint="eastAsia"/>
          <w:b/>
          <w:lang w:eastAsia="zh-CN"/>
        </w:rPr>
        <w:t>Proposal</w:t>
      </w:r>
      <w:r w:rsidRPr="00B359EB">
        <w:rPr>
          <w:rFonts w:eastAsia="等线"/>
          <w:b/>
          <w:lang w:eastAsia="zh-CN"/>
        </w:rPr>
        <w:t xml:space="preserve"> </w:t>
      </w:r>
      <w:r>
        <w:rPr>
          <w:rFonts w:eastAsia="等线"/>
          <w:b/>
          <w:lang w:eastAsia="zh-CN"/>
        </w:rPr>
        <w:t>1</w:t>
      </w:r>
      <w:r w:rsidRPr="00B359EB">
        <w:rPr>
          <w:rFonts w:eastAsia="等线" w:hint="eastAsia"/>
          <w:b/>
          <w:lang w:eastAsia="zh-CN"/>
        </w:rPr>
        <w:t>：</w:t>
      </w:r>
      <w:r w:rsidR="00546EFC">
        <w:rPr>
          <w:rFonts w:eastAsia="等线"/>
          <w:lang w:eastAsia="zh-CN"/>
        </w:rPr>
        <w:t>MPR analysis</w:t>
      </w:r>
      <w:r w:rsidR="00AD0051">
        <w:rPr>
          <w:rFonts w:eastAsia="等线"/>
          <w:lang w:eastAsia="zh-CN"/>
        </w:rPr>
        <w:t xml:space="preserve"> for PC 1.5 UL CA</w:t>
      </w:r>
      <w:r w:rsidR="003F00CE">
        <w:rPr>
          <w:rFonts w:eastAsia="等线"/>
          <w:lang w:eastAsia="zh-CN"/>
        </w:rPr>
        <w:t xml:space="preserve"> from [2]</w:t>
      </w:r>
      <w:r w:rsidR="00546EFC">
        <w:rPr>
          <w:rFonts w:eastAsia="等线"/>
          <w:lang w:eastAsia="zh-CN"/>
        </w:rPr>
        <w:t xml:space="preserve"> </w:t>
      </w:r>
      <w:r w:rsidR="00BA331D">
        <w:rPr>
          <w:rFonts w:eastAsia="等线"/>
          <w:lang w:eastAsia="zh-CN"/>
        </w:rPr>
        <w:t>can be</w:t>
      </w:r>
      <w:r w:rsidR="00546EFC">
        <w:rPr>
          <w:rFonts w:eastAsia="等线"/>
          <w:lang w:eastAsia="zh-CN"/>
        </w:rPr>
        <w:t xml:space="preserve"> a starting point using exiting PC1</w:t>
      </w:r>
      <w:r w:rsidR="00AD0051">
        <w:rPr>
          <w:rFonts w:eastAsia="等线"/>
          <w:lang w:eastAsia="zh-CN"/>
        </w:rPr>
        <w:t>.5</w:t>
      </w:r>
      <w:r w:rsidR="00546EFC">
        <w:rPr>
          <w:rFonts w:eastAsia="等线"/>
          <w:lang w:eastAsia="zh-CN"/>
        </w:rPr>
        <w:t xml:space="preserve"> single carrier and PC2</w:t>
      </w:r>
      <w:r w:rsidR="00AD0051">
        <w:rPr>
          <w:rFonts w:eastAsia="等线"/>
          <w:lang w:eastAsia="zh-CN"/>
        </w:rPr>
        <w:t xml:space="preserve"> single carrier and UL CA</w:t>
      </w:r>
      <w:r w:rsidR="00546EFC">
        <w:rPr>
          <w:rFonts w:eastAsia="等线"/>
          <w:lang w:eastAsia="zh-CN"/>
        </w:rPr>
        <w:t xml:space="preserve"> MPR data</w:t>
      </w:r>
      <w:r w:rsidR="00EF3737">
        <w:rPr>
          <w:rFonts w:eastAsia="等线" w:hint="eastAsia"/>
          <w:lang w:eastAsia="zh-CN"/>
        </w:rPr>
        <w:t>.</w:t>
      </w:r>
      <w:bookmarkStart w:id="3" w:name="_GoBack"/>
      <w:bookmarkEnd w:id="3"/>
    </w:p>
    <w:bookmarkEnd w:id="2"/>
    <w:p w14:paraId="36AB292A" w14:textId="2C93513A" w:rsidR="00C17E5C" w:rsidRDefault="00C17E5C" w:rsidP="00C17E5C">
      <w:pPr>
        <w:pStyle w:val="2"/>
        <w:spacing w:after="240"/>
        <w:rPr>
          <w:rFonts w:eastAsia="等线"/>
          <w:lang w:eastAsia="zh-CN"/>
        </w:rPr>
      </w:pPr>
      <w:proofErr w:type="spellStart"/>
      <w:proofErr w:type="gramStart"/>
      <w:r w:rsidRPr="00C17E5C">
        <w:rPr>
          <w:rFonts w:eastAsia="等线"/>
          <w:lang w:eastAsia="zh-CN"/>
        </w:rPr>
        <w:t>Pcmax,</w:t>
      </w:r>
      <w:r w:rsidRPr="00225A56">
        <w:rPr>
          <w:rFonts w:eastAsia="等线"/>
          <w:vertAlign w:val="subscript"/>
          <w:lang w:eastAsia="zh-CN"/>
        </w:rPr>
        <w:t>C</w:t>
      </w:r>
      <w:proofErr w:type="spellEnd"/>
      <w:proofErr w:type="gramEnd"/>
      <w:r w:rsidRPr="00C17E5C">
        <w:rPr>
          <w:rFonts w:eastAsia="等线"/>
          <w:lang w:eastAsia="zh-CN"/>
        </w:rPr>
        <w:t xml:space="preserve"> and </w:t>
      </w:r>
      <w:proofErr w:type="spellStart"/>
      <w:r w:rsidRPr="00C17E5C">
        <w:rPr>
          <w:rFonts w:eastAsia="等线"/>
          <w:lang w:eastAsia="zh-CN"/>
        </w:rPr>
        <w:t>Pcmax</w:t>
      </w:r>
      <w:proofErr w:type="spellEnd"/>
    </w:p>
    <w:p w14:paraId="5B852F33" w14:textId="2F2BEB9E" w:rsidR="00AD0051" w:rsidRPr="00CB2931" w:rsidRDefault="00AD0051" w:rsidP="00BA331D">
      <w:pPr>
        <w:rPr>
          <w:rFonts w:eastAsia="等线"/>
          <w:lang w:eastAsia="zh-CN"/>
        </w:rPr>
      </w:pPr>
      <w:r>
        <w:rPr>
          <w:rFonts w:eastAsia="等线" w:hint="eastAsia"/>
          <w:lang w:eastAsia="zh-CN"/>
        </w:rPr>
        <w:t>For</w:t>
      </w:r>
      <w:r>
        <w:rPr>
          <w:rFonts w:eastAsia="等线"/>
          <w:lang w:eastAsia="zh-CN"/>
        </w:rPr>
        <w:t xml:space="preserve"> </w:t>
      </w:r>
      <w:proofErr w:type="spellStart"/>
      <w:proofErr w:type="gramStart"/>
      <w:r>
        <w:rPr>
          <w:rFonts w:eastAsia="等线"/>
          <w:lang w:eastAsia="zh-CN"/>
        </w:rPr>
        <w:t>Pcmax,c</w:t>
      </w:r>
      <w:proofErr w:type="spellEnd"/>
      <w:proofErr w:type="gramEnd"/>
      <w:r>
        <w:rPr>
          <w:rFonts w:eastAsia="等线"/>
          <w:lang w:eastAsia="zh-CN"/>
        </w:rPr>
        <w:t xml:space="preserve"> and </w:t>
      </w:r>
      <w:proofErr w:type="spellStart"/>
      <w:r>
        <w:rPr>
          <w:rFonts w:eastAsia="等线"/>
          <w:lang w:eastAsia="zh-CN"/>
        </w:rPr>
        <w:t>Pcmax</w:t>
      </w:r>
      <w:proofErr w:type="spellEnd"/>
      <w:r>
        <w:rPr>
          <w:rFonts w:eastAsia="等线"/>
          <w:lang w:eastAsia="zh-CN"/>
        </w:rPr>
        <w:t xml:space="preserve"> issue, we had following WF for PC 1.5 intra-band contiguous and non-contiguous CA:</w:t>
      </w:r>
    </w:p>
    <w:tbl>
      <w:tblPr>
        <w:tblStyle w:val="aff0"/>
        <w:tblW w:w="0" w:type="auto"/>
        <w:tblLook w:val="04A0" w:firstRow="1" w:lastRow="0" w:firstColumn="1" w:lastColumn="0" w:noHBand="0" w:noVBand="1"/>
      </w:tblPr>
      <w:tblGrid>
        <w:gridCol w:w="9631"/>
      </w:tblGrid>
      <w:tr w:rsidR="00C17E5C" w14:paraId="33AC60C5" w14:textId="77777777" w:rsidTr="00C17E5C">
        <w:tc>
          <w:tcPr>
            <w:tcW w:w="9631" w:type="dxa"/>
          </w:tcPr>
          <w:p w14:paraId="7F9A63D9" w14:textId="77777777" w:rsidR="00052BD8" w:rsidRPr="00052BD8" w:rsidRDefault="00052BD8" w:rsidP="00052BD8">
            <w:pPr>
              <w:keepNext/>
              <w:keepLines/>
              <w:spacing w:before="180"/>
              <w:outlineLvl w:val="1"/>
              <w:rPr>
                <w:rFonts w:ascii="Arial" w:hAnsi="Arial"/>
                <w:sz w:val="24"/>
                <w:lang w:eastAsia="zh-CN"/>
              </w:rPr>
            </w:pPr>
            <w:r w:rsidRPr="00052BD8">
              <w:rPr>
                <w:rFonts w:ascii="Arial" w:hAnsi="Arial"/>
                <w:sz w:val="24"/>
                <w:lang w:eastAsia="en-GB"/>
              </w:rPr>
              <w:t xml:space="preserve">1.2 </w:t>
            </w:r>
            <w:proofErr w:type="gramStart"/>
            <w:r w:rsidRPr="00052BD8">
              <w:rPr>
                <w:rFonts w:ascii="Arial" w:hAnsi="Arial"/>
                <w:sz w:val="24"/>
                <w:lang w:eastAsia="en-GB"/>
              </w:rPr>
              <w:t>P</w:t>
            </w:r>
            <w:r w:rsidRPr="00052BD8">
              <w:rPr>
                <w:rFonts w:ascii="Arial" w:hAnsi="Arial"/>
                <w:sz w:val="24"/>
                <w:vertAlign w:val="subscript"/>
                <w:lang w:eastAsia="en-GB"/>
              </w:rPr>
              <w:t>CMAX,C</w:t>
            </w:r>
            <w:proofErr w:type="gramEnd"/>
            <w:r w:rsidRPr="00052BD8">
              <w:rPr>
                <w:rFonts w:ascii="Arial" w:hAnsi="Arial"/>
                <w:sz w:val="24"/>
                <w:vertAlign w:val="subscript"/>
                <w:lang w:eastAsia="en-GB"/>
              </w:rPr>
              <w:t xml:space="preserve"> </w:t>
            </w:r>
          </w:p>
          <w:p w14:paraId="60F5701E" w14:textId="77777777" w:rsidR="00052BD8" w:rsidRPr="00052BD8" w:rsidRDefault="00052BD8" w:rsidP="00052BD8">
            <w:pPr>
              <w:rPr>
                <w:rFonts w:eastAsia="等线"/>
                <w:lang w:eastAsia="en-GB"/>
              </w:rPr>
            </w:pPr>
            <w:bookmarkStart w:id="4" w:name="_Hlk175006540"/>
            <w:proofErr w:type="spellStart"/>
            <w:r w:rsidRPr="00052BD8">
              <w:rPr>
                <w:rFonts w:eastAsia="等线"/>
                <w:b/>
                <w:bCs/>
                <w:lang w:eastAsia="en-GB"/>
              </w:rPr>
              <w:t>A</w:t>
            </w:r>
            <w:r w:rsidRPr="00052BD8">
              <w:rPr>
                <w:rFonts w:eastAsia="等线" w:hint="eastAsia"/>
                <w:b/>
                <w:bCs/>
                <w:lang w:eastAsia="zh-CN"/>
              </w:rPr>
              <w:t>dh</w:t>
            </w:r>
            <w:r w:rsidRPr="00052BD8">
              <w:rPr>
                <w:rFonts w:eastAsia="等线"/>
                <w:b/>
                <w:bCs/>
                <w:lang w:eastAsia="zh-CN"/>
              </w:rPr>
              <w:t>oc</w:t>
            </w:r>
            <w:proofErr w:type="spellEnd"/>
            <w:r w:rsidRPr="00052BD8">
              <w:rPr>
                <w:rFonts w:eastAsia="等线"/>
                <w:b/>
                <w:bCs/>
                <w:lang w:eastAsia="zh-CN"/>
              </w:rPr>
              <w:t xml:space="preserve"> </w:t>
            </w:r>
            <w:r w:rsidRPr="00052BD8">
              <w:rPr>
                <w:rFonts w:eastAsia="等线"/>
                <w:b/>
                <w:bCs/>
                <w:lang w:eastAsia="en-GB"/>
              </w:rPr>
              <w:t xml:space="preserve">agreement: </w:t>
            </w:r>
          </w:p>
          <w:p w14:paraId="42DB2B81" w14:textId="77777777" w:rsidR="00052BD8" w:rsidRPr="00052BD8" w:rsidRDefault="00052BD8" w:rsidP="00052BD8">
            <w:pPr>
              <w:numPr>
                <w:ilvl w:val="0"/>
                <w:numId w:val="31"/>
              </w:numPr>
              <w:rPr>
                <w:lang w:eastAsia="en-GB"/>
              </w:rPr>
            </w:pPr>
            <w:bookmarkStart w:id="5" w:name="_Hlk178688865"/>
            <w:r w:rsidRPr="00052BD8">
              <w:rPr>
                <w:lang w:eastAsia="en-GB"/>
              </w:rPr>
              <w:t>For intra-band UL NC CA with</w:t>
            </w:r>
            <w:r w:rsidRPr="00052BD8">
              <w:rPr>
                <w:rFonts w:hint="eastAsia"/>
                <w:lang w:eastAsia="en-GB"/>
              </w:rPr>
              <w:t xml:space="preserve"> </w:t>
            </w:r>
            <w:proofErr w:type="spellStart"/>
            <w:r w:rsidRPr="00052BD8">
              <w:rPr>
                <w:rFonts w:hint="eastAsia"/>
                <w:lang w:eastAsia="en-GB"/>
              </w:rPr>
              <w:t>dualPA</w:t>
            </w:r>
            <w:proofErr w:type="spellEnd"/>
            <w:r w:rsidRPr="00052BD8">
              <w:rPr>
                <w:rFonts w:hint="eastAsia"/>
                <w:lang w:eastAsia="en-GB"/>
              </w:rPr>
              <w:t>-architecture,</w:t>
            </w:r>
            <w:r w:rsidRPr="00052BD8">
              <w:rPr>
                <w:lang w:eastAsia="en-GB"/>
              </w:rPr>
              <w:t xml:space="preserve"> the upper bound of </w:t>
            </w:r>
            <w:proofErr w:type="spellStart"/>
            <w:proofErr w:type="gramStart"/>
            <w:r w:rsidRPr="00052BD8">
              <w:rPr>
                <w:lang w:eastAsia="en-GB"/>
              </w:rPr>
              <w:t>Pcmax,c</w:t>
            </w:r>
            <w:proofErr w:type="spellEnd"/>
            <w:proofErr w:type="gramEnd"/>
            <w:r w:rsidRPr="00052BD8">
              <w:rPr>
                <w:lang w:eastAsia="en-GB"/>
              </w:rPr>
              <w:t xml:space="preserve"> is 26dBm per CC</w:t>
            </w:r>
          </w:p>
          <w:p w14:paraId="6D20D053" w14:textId="77777777" w:rsidR="00052BD8" w:rsidRPr="00052BD8" w:rsidRDefault="00052BD8" w:rsidP="00052BD8">
            <w:pPr>
              <w:numPr>
                <w:ilvl w:val="1"/>
                <w:numId w:val="31"/>
              </w:numPr>
              <w:rPr>
                <w:rFonts w:eastAsia="等线"/>
                <w:lang w:eastAsia="en-GB"/>
              </w:rPr>
            </w:pPr>
            <w:r w:rsidRPr="00052BD8">
              <w:rPr>
                <w:rFonts w:eastAsia="等线"/>
                <w:lang w:eastAsia="en-GB"/>
              </w:rPr>
              <w:t>Whether or how to reflect the above agreement in spec is FFS</w:t>
            </w:r>
            <w:r w:rsidRPr="00052BD8">
              <w:rPr>
                <w:rFonts w:eastAsia="等线" w:hint="eastAsia"/>
                <w:lang w:eastAsia="en-GB"/>
              </w:rPr>
              <w:t xml:space="preserve"> </w:t>
            </w:r>
            <w:r w:rsidRPr="00052BD8">
              <w:rPr>
                <w:rFonts w:eastAsia="等线"/>
                <w:lang w:eastAsia="en-GB"/>
              </w:rPr>
              <w:t xml:space="preserve"> </w:t>
            </w:r>
          </w:p>
          <w:p w14:paraId="1EE4DF8A" w14:textId="77777777" w:rsidR="00052BD8" w:rsidRPr="00052BD8" w:rsidRDefault="00052BD8" w:rsidP="00052BD8">
            <w:pPr>
              <w:numPr>
                <w:ilvl w:val="0"/>
                <w:numId w:val="31"/>
              </w:numPr>
              <w:rPr>
                <w:lang w:eastAsia="en-GB"/>
              </w:rPr>
            </w:pPr>
            <w:r w:rsidRPr="00052BD8">
              <w:rPr>
                <w:lang w:eastAsia="en-GB"/>
              </w:rPr>
              <w:t>For intra-band UL contiguous CA with</w:t>
            </w:r>
            <w:r w:rsidRPr="00052BD8">
              <w:rPr>
                <w:rFonts w:hint="eastAsia"/>
                <w:lang w:eastAsia="en-GB"/>
              </w:rPr>
              <w:t xml:space="preserve"> </w:t>
            </w:r>
            <w:proofErr w:type="spellStart"/>
            <w:r w:rsidRPr="00052BD8">
              <w:rPr>
                <w:lang w:eastAsia="en-GB"/>
              </w:rPr>
              <w:t>TxD</w:t>
            </w:r>
            <w:proofErr w:type="spellEnd"/>
            <w:r w:rsidRPr="00052BD8">
              <w:rPr>
                <w:rFonts w:hint="eastAsia"/>
                <w:lang w:eastAsia="en-GB"/>
              </w:rPr>
              <w:t>,</w:t>
            </w:r>
            <w:r w:rsidRPr="00052BD8">
              <w:rPr>
                <w:lang w:eastAsia="en-GB"/>
              </w:rPr>
              <w:t xml:space="preserve"> the upper bound of </w:t>
            </w:r>
            <w:proofErr w:type="spellStart"/>
            <w:proofErr w:type="gramStart"/>
            <w:r w:rsidRPr="00052BD8">
              <w:rPr>
                <w:lang w:eastAsia="en-GB"/>
              </w:rPr>
              <w:t>Pcmax,c</w:t>
            </w:r>
            <w:proofErr w:type="spellEnd"/>
            <w:proofErr w:type="gramEnd"/>
            <w:r w:rsidRPr="00052BD8">
              <w:rPr>
                <w:lang w:eastAsia="en-GB"/>
              </w:rPr>
              <w:t xml:space="preserve"> is 29dBm per CC</w:t>
            </w:r>
          </w:p>
          <w:p w14:paraId="4D606D73" w14:textId="408C9BCE" w:rsidR="00052BD8" w:rsidRDefault="00052BD8" w:rsidP="00052BD8">
            <w:pPr>
              <w:numPr>
                <w:ilvl w:val="1"/>
                <w:numId w:val="31"/>
              </w:numPr>
              <w:rPr>
                <w:rFonts w:eastAsia="等线"/>
                <w:lang w:eastAsia="en-GB"/>
              </w:rPr>
            </w:pPr>
            <w:r w:rsidRPr="00052BD8">
              <w:rPr>
                <w:rFonts w:eastAsia="等线"/>
                <w:lang w:eastAsia="en-GB"/>
              </w:rPr>
              <w:t>Whether or how to reflect the above agreement in spec is FFS</w:t>
            </w:r>
            <w:bookmarkEnd w:id="4"/>
          </w:p>
          <w:bookmarkEnd w:id="5"/>
          <w:p w14:paraId="696A0A92" w14:textId="77777777" w:rsidR="00052BD8" w:rsidRPr="00052BD8" w:rsidRDefault="00052BD8" w:rsidP="00052BD8">
            <w:pPr>
              <w:keepNext/>
              <w:keepLines/>
              <w:spacing w:before="180"/>
              <w:outlineLvl w:val="1"/>
              <w:rPr>
                <w:rFonts w:ascii="Arial" w:hAnsi="Arial"/>
                <w:sz w:val="24"/>
                <w:vertAlign w:val="subscript"/>
                <w:lang w:eastAsia="en-GB"/>
              </w:rPr>
            </w:pPr>
            <w:r w:rsidRPr="00052BD8">
              <w:rPr>
                <w:rFonts w:ascii="Arial" w:hAnsi="Arial"/>
                <w:sz w:val="24"/>
                <w:lang w:eastAsia="en-GB"/>
              </w:rPr>
              <w:t>1.3 P</w:t>
            </w:r>
            <w:r w:rsidRPr="00052BD8">
              <w:rPr>
                <w:rFonts w:ascii="Arial" w:hAnsi="Arial"/>
                <w:sz w:val="24"/>
                <w:vertAlign w:val="subscript"/>
                <w:lang w:eastAsia="en-GB"/>
              </w:rPr>
              <w:t>CMAX</w:t>
            </w:r>
          </w:p>
          <w:p w14:paraId="24247B9A" w14:textId="77777777" w:rsidR="00052BD8" w:rsidRPr="00052BD8" w:rsidRDefault="00052BD8" w:rsidP="00052BD8">
            <w:pPr>
              <w:rPr>
                <w:rFonts w:eastAsia="等线"/>
                <w:b/>
                <w:bCs/>
                <w:lang w:eastAsia="en-GB"/>
              </w:rPr>
            </w:pPr>
            <w:r w:rsidRPr="00052BD8">
              <w:rPr>
                <w:rFonts w:eastAsia="等线"/>
                <w:b/>
                <w:bCs/>
                <w:lang w:eastAsia="en-GB"/>
              </w:rPr>
              <w:t xml:space="preserve">Online agreement with </w:t>
            </w:r>
            <w:proofErr w:type="spellStart"/>
            <w:r w:rsidRPr="00052BD8">
              <w:rPr>
                <w:rFonts w:eastAsia="等线"/>
                <w:b/>
                <w:bCs/>
                <w:lang w:eastAsia="en-GB"/>
              </w:rPr>
              <w:t>adhoc</w:t>
            </w:r>
            <w:proofErr w:type="spellEnd"/>
            <w:r w:rsidRPr="00052BD8">
              <w:rPr>
                <w:rFonts w:eastAsia="等线"/>
                <w:b/>
                <w:bCs/>
                <w:lang w:eastAsia="en-GB"/>
              </w:rPr>
              <w:t xml:space="preserve"> modification: </w:t>
            </w:r>
          </w:p>
          <w:p w14:paraId="26A68063" w14:textId="77777777" w:rsidR="00052BD8" w:rsidRPr="00052BD8" w:rsidRDefault="00052BD8" w:rsidP="00052BD8">
            <w:pPr>
              <w:numPr>
                <w:ilvl w:val="0"/>
                <w:numId w:val="32"/>
              </w:numPr>
              <w:rPr>
                <w:rFonts w:eastAsia="Malgun Gothic"/>
                <w:szCs w:val="24"/>
                <w:lang w:val="en-US" w:eastAsia="ko-KR"/>
              </w:rPr>
            </w:pPr>
            <w:r w:rsidRPr="00052BD8">
              <w:rPr>
                <w:rFonts w:eastAsia="Malgun Gothic"/>
                <w:szCs w:val="24"/>
                <w:lang w:val="en-US" w:eastAsia="ko-KR"/>
              </w:rPr>
              <w:t xml:space="preserve">For intra-band contiguous ULCA with 2Tx-TxD, the upper bound of </w:t>
            </w:r>
            <w:proofErr w:type="spellStart"/>
            <w:r w:rsidRPr="00052BD8">
              <w:rPr>
                <w:rFonts w:eastAsia="Malgun Gothic"/>
                <w:szCs w:val="24"/>
                <w:lang w:val="en-US" w:eastAsia="ko-KR"/>
              </w:rPr>
              <w:t>Pcmax</w:t>
            </w:r>
            <w:proofErr w:type="spellEnd"/>
            <w:r w:rsidRPr="00052BD8">
              <w:rPr>
                <w:rFonts w:eastAsia="Malgun Gothic"/>
                <w:szCs w:val="24"/>
                <w:lang w:val="en-US" w:eastAsia="ko-KR"/>
              </w:rPr>
              <w:t xml:space="preserve"> is 29dBm </w:t>
            </w:r>
          </w:p>
          <w:p w14:paraId="4E4E7A08" w14:textId="7B38FEF5" w:rsidR="00C17E5C" w:rsidRPr="00BA331D" w:rsidRDefault="00052BD8" w:rsidP="00BA331D">
            <w:pPr>
              <w:numPr>
                <w:ilvl w:val="0"/>
                <w:numId w:val="32"/>
              </w:numPr>
              <w:rPr>
                <w:rFonts w:eastAsia="Malgun Gothic"/>
                <w:szCs w:val="24"/>
                <w:lang w:val="en-US" w:eastAsia="ko-KR"/>
              </w:rPr>
            </w:pPr>
            <w:r w:rsidRPr="00052BD8">
              <w:rPr>
                <w:rFonts w:eastAsia="Malgun Gothic"/>
                <w:szCs w:val="24"/>
                <w:lang w:val="en-US" w:eastAsia="ko-KR"/>
              </w:rPr>
              <w:t xml:space="preserve">For intra-band UL NC CA with dual PA architecture, the upper bound of </w:t>
            </w:r>
            <w:proofErr w:type="spellStart"/>
            <w:r w:rsidRPr="00052BD8">
              <w:rPr>
                <w:rFonts w:eastAsia="Malgun Gothic"/>
                <w:szCs w:val="24"/>
                <w:lang w:val="en-US" w:eastAsia="ko-KR"/>
              </w:rPr>
              <w:t>Pcmax</w:t>
            </w:r>
            <w:proofErr w:type="spellEnd"/>
            <w:r w:rsidRPr="00052BD8">
              <w:rPr>
                <w:rFonts w:eastAsia="Malgun Gothic"/>
                <w:szCs w:val="24"/>
                <w:lang w:val="en-US" w:eastAsia="ko-KR"/>
              </w:rPr>
              <w:t xml:space="preserve"> is 29dBm </w:t>
            </w:r>
          </w:p>
        </w:tc>
      </w:tr>
    </w:tbl>
    <w:p w14:paraId="76007CC4" w14:textId="56E42F40" w:rsidR="00804AD3" w:rsidRPr="00BA331D" w:rsidRDefault="00804AD3" w:rsidP="009261DD">
      <w:pPr>
        <w:jc w:val="both"/>
        <w:rPr>
          <w:rFonts w:eastAsia="等线"/>
          <w:lang w:eastAsia="zh-CN"/>
        </w:rPr>
      </w:pPr>
      <w:r w:rsidRPr="00BA331D">
        <w:rPr>
          <w:rFonts w:eastAsia="等线"/>
          <w:lang w:eastAsia="zh-CN"/>
        </w:rPr>
        <w:t xml:space="preserve">From our perspective, we think we need to capture these two agreements for </w:t>
      </w:r>
      <w:proofErr w:type="spellStart"/>
      <w:r w:rsidRPr="00BA331D">
        <w:rPr>
          <w:rFonts w:eastAsia="等线"/>
          <w:lang w:eastAsia="zh-CN"/>
        </w:rPr>
        <w:t>Pcmax</w:t>
      </w:r>
      <w:r>
        <w:rPr>
          <w:rFonts w:eastAsia="等线"/>
          <w:lang w:eastAsia="zh-CN"/>
        </w:rPr>
        <w:t>,</w:t>
      </w:r>
      <w:r w:rsidRPr="00BA331D">
        <w:rPr>
          <w:rFonts w:eastAsia="等线"/>
          <w:lang w:eastAsia="zh-CN"/>
        </w:rPr>
        <w:t>c</w:t>
      </w:r>
      <w:proofErr w:type="spellEnd"/>
      <w:r w:rsidRPr="00BA331D">
        <w:rPr>
          <w:rFonts w:eastAsia="等线"/>
          <w:lang w:eastAsia="zh-CN"/>
        </w:rPr>
        <w:t xml:space="preserve"> in TS 38.101-1.</w:t>
      </w:r>
      <w:r>
        <w:rPr>
          <w:rFonts w:eastAsia="等线"/>
          <w:lang w:eastAsia="zh-CN"/>
        </w:rPr>
        <w:t xml:space="preserve"> For PC1.5 intra-band UL NC CA, </w:t>
      </w:r>
      <w:proofErr w:type="spellStart"/>
      <w:r>
        <w:rPr>
          <w:rFonts w:eastAsia="等线"/>
          <w:lang w:eastAsia="zh-CN"/>
        </w:rPr>
        <w:t>dualPA</w:t>
      </w:r>
      <w:proofErr w:type="spellEnd"/>
      <w:r>
        <w:rPr>
          <w:rFonts w:eastAsia="等线"/>
          <w:lang w:eastAsia="zh-CN"/>
        </w:rPr>
        <w:t xml:space="preserve">-architecture with two LOs are the baseline RF architecture. One CC using one PA, the upper bound of transmitted power is indeed 26dBm, </w:t>
      </w:r>
      <w:r w:rsidR="00AD41A4">
        <w:rPr>
          <w:rFonts w:eastAsia="等线"/>
          <w:lang w:eastAsia="zh-CN"/>
        </w:rPr>
        <w:t xml:space="preserve">which is determined by the current </w:t>
      </w:r>
      <w:r w:rsidR="009261DD">
        <w:rPr>
          <w:rFonts w:eastAsia="等线"/>
          <w:lang w:eastAsia="zh-CN"/>
        </w:rPr>
        <w:t xml:space="preserve">commercial </w:t>
      </w:r>
      <w:r w:rsidR="00AD41A4">
        <w:rPr>
          <w:rFonts w:eastAsia="等线"/>
          <w:lang w:eastAsia="zh-CN"/>
        </w:rPr>
        <w:t xml:space="preserve">PA </w:t>
      </w:r>
      <w:r w:rsidR="009261DD">
        <w:rPr>
          <w:rFonts w:eastAsia="等线"/>
          <w:lang w:eastAsia="zh-CN"/>
        </w:rPr>
        <w:t>capability</w:t>
      </w:r>
      <w:r w:rsidR="00AD41A4">
        <w:rPr>
          <w:rFonts w:eastAsia="等线"/>
          <w:lang w:eastAsia="zh-CN"/>
        </w:rPr>
        <w:t>. We think it is necessary to capture this in the spec.</w:t>
      </w:r>
      <w:r w:rsidR="00AD41A4">
        <w:rPr>
          <w:rFonts w:eastAsia="等线"/>
          <w:b/>
          <w:lang w:eastAsia="zh-CN"/>
        </w:rPr>
        <w:t xml:space="preserve"> </w:t>
      </w:r>
      <w:r w:rsidR="00AD41A4" w:rsidRPr="00BA331D">
        <w:rPr>
          <w:rFonts w:eastAsia="等线"/>
          <w:lang w:eastAsia="zh-CN"/>
        </w:rPr>
        <w:t xml:space="preserve">For PC 1.5 intra-band UL contiguous CA, single CC can achieve 29dBm using the </w:t>
      </w:r>
      <w:proofErr w:type="spellStart"/>
      <w:r w:rsidR="00AD41A4" w:rsidRPr="00BA331D">
        <w:rPr>
          <w:rFonts w:eastAsia="等线"/>
          <w:lang w:eastAsia="zh-CN"/>
        </w:rPr>
        <w:t>TxD</w:t>
      </w:r>
      <w:proofErr w:type="spellEnd"/>
      <w:r w:rsidR="00AD41A4" w:rsidRPr="00BA331D">
        <w:rPr>
          <w:rFonts w:eastAsia="等线"/>
          <w:lang w:eastAsia="zh-CN"/>
        </w:rPr>
        <w:t xml:space="preserve"> capability, which is also true.</w:t>
      </w:r>
      <w:r w:rsidR="00AD41A4">
        <w:rPr>
          <w:rFonts w:eastAsia="等线"/>
          <w:lang w:eastAsia="zh-CN"/>
        </w:rPr>
        <w:t xml:space="preserve"> We can add this sentence in the spec.</w:t>
      </w:r>
    </w:p>
    <w:p w14:paraId="2D0F1476" w14:textId="628516F3" w:rsidR="0038123D" w:rsidRDefault="0038123D" w:rsidP="00C17E5C">
      <w:pPr>
        <w:rPr>
          <w:rFonts w:eastAsia="等线"/>
          <w:lang w:eastAsia="zh-CN"/>
        </w:rPr>
      </w:pPr>
      <w:bookmarkStart w:id="6" w:name="_Hlk179192105"/>
      <w:r>
        <w:rPr>
          <w:rFonts w:eastAsia="等线"/>
          <w:b/>
          <w:lang w:eastAsia="zh-CN"/>
        </w:rPr>
        <w:t xml:space="preserve">Proposal </w:t>
      </w:r>
      <w:r w:rsidR="00AD0051">
        <w:rPr>
          <w:rFonts w:eastAsia="等线"/>
          <w:b/>
          <w:lang w:eastAsia="zh-CN"/>
        </w:rPr>
        <w:t>2</w:t>
      </w:r>
      <w:r>
        <w:rPr>
          <w:rFonts w:eastAsia="等线"/>
          <w:b/>
          <w:lang w:eastAsia="zh-CN"/>
        </w:rPr>
        <w:t xml:space="preserve">: </w:t>
      </w:r>
      <w:r w:rsidR="00AD0051">
        <w:rPr>
          <w:rFonts w:eastAsia="等线"/>
          <w:lang w:eastAsia="zh-CN"/>
        </w:rPr>
        <w:t xml:space="preserve">These two </w:t>
      </w:r>
      <w:proofErr w:type="spellStart"/>
      <w:proofErr w:type="gramStart"/>
      <w:r w:rsidR="00AD0051">
        <w:rPr>
          <w:rFonts w:eastAsia="等线"/>
          <w:lang w:eastAsia="zh-CN"/>
        </w:rPr>
        <w:t>Pcmax,c</w:t>
      </w:r>
      <w:proofErr w:type="spellEnd"/>
      <w:proofErr w:type="gramEnd"/>
      <w:r w:rsidR="00AD0051">
        <w:rPr>
          <w:rFonts w:eastAsia="等线"/>
          <w:lang w:eastAsia="zh-CN"/>
        </w:rPr>
        <w:t xml:space="preserve"> restriction are suggested to</w:t>
      </w:r>
      <w:r w:rsidR="00804AD3">
        <w:rPr>
          <w:rFonts w:eastAsia="等线"/>
          <w:lang w:eastAsia="zh-CN"/>
        </w:rPr>
        <w:t xml:space="preserve"> be</w:t>
      </w:r>
      <w:r w:rsidR="00AD0051">
        <w:rPr>
          <w:rFonts w:eastAsia="等线"/>
          <w:lang w:eastAsia="zh-CN"/>
        </w:rPr>
        <w:t xml:space="preserve"> captured in </w:t>
      </w:r>
      <w:r w:rsidR="00804AD3">
        <w:rPr>
          <w:rFonts w:eastAsia="等线"/>
          <w:lang w:eastAsia="zh-CN"/>
        </w:rPr>
        <w:t>configured output power for CA in TS 38.101-1:</w:t>
      </w:r>
    </w:p>
    <w:p w14:paraId="2B3264B6" w14:textId="77777777" w:rsidR="00AD41A4" w:rsidRPr="00052BD8" w:rsidRDefault="00AD41A4" w:rsidP="00AD41A4">
      <w:pPr>
        <w:numPr>
          <w:ilvl w:val="0"/>
          <w:numId w:val="31"/>
        </w:numPr>
        <w:rPr>
          <w:lang w:eastAsia="en-GB"/>
        </w:rPr>
      </w:pPr>
      <w:r w:rsidRPr="00052BD8">
        <w:rPr>
          <w:lang w:eastAsia="en-GB"/>
        </w:rPr>
        <w:t>For intra-band UL NC CA with</w:t>
      </w:r>
      <w:r w:rsidRPr="00052BD8">
        <w:rPr>
          <w:rFonts w:hint="eastAsia"/>
          <w:lang w:eastAsia="en-GB"/>
        </w:rPr>
        <w:t xml:space="preserve"> </w:t>
      </w:r>
      <w:proofErr w:type="spellStart"/>
      <w:r w:rsidRPr="00052BD8">
        <w:rPr>
          <w:rFonts w:hint="eastAsia"/>
          <w:lang w:eastAsia="en-GB"/>
        </w:rPr>
        <w:t>dualPA</w:t>
      </w:r>
      <w:proofErr w:type="spellEnd"/>
      <w:r w:rsidRPr="00052BD8">
        <w:rPr>
          <w:rFonts w:hint="eastAsia"/>
          <w:lang w:eastAsia="en-GB"/>
        </w:rPr>
        <w:t>-architecture,</w:t>
      </w:r>
      <w:r w:rsidRPr="00052BD8">
        <w:rPr>
          <w:lang w:eastAsia="en-GB"/>
        </w:rPr>
        <w:t xml:space="preserve"> the upper bound of </w:t>
      </w:r>
      <w:proofErr w:type="spellStart"/>
      <w:proofErr w:type="gramStart"/>
      <w:r w:rsidRPr="00052BD8">
        <w:rPr>
          <w:lang w:eastAsia="en-GB"/>
        </w:rPr>
        <w:t>Pcmax,c</w:t>
      </w:r>
      <w:proofErr w:type="spellEnd"/>
      <w:proofErr w:type="gramEnd"/>
      <w:r w:rsidRPr="00052BD8">
        <w:rPr>
          <w:lang w:eastAsia="en-GB"/>
        </w:rPr>
        <w:t xml:space="preserve"> is 26dBm per CC</w:t>
      </w:r>
    </w:p>
    <w:p w14:paraId="7EB1C9C1" w14:textId="0EBB08E1" w:rsidR="00AD41A4" w:rsidRPr="00BA331D" w:rsidRDefault="00AD41A4" w:rsidP="00BA331D">
      <w:pPr>
        <w:numPr>
          <w:ilvl w:val="0"/>
          <w:numId w:val="31"/>
        </w:numPr>
        <w:rPr>
          <w:lang w:eastAsia="en-GB"/>
        </w:rPr>
      </w:pPr>
      <w:r w:rsidRPr="00052BD8">
        <w:rPr>
          <w:lang w:eastAsia="en-GB"/>
        </w:rPr>
        <w:t>For intra-band UL contiguous CA with</w:t>
      </w:r>
      <w:r w:rsidRPr="00052BD8">
        <w:rPr>
          <w:rFonts w:hint="eastAsia"/>
          <w:lang w:eastAsia="en-GB"/>
        </w:rPr>
        <w:t xml:space="preserve"> </w:t>
      </w:r>
      <w:proofErr w:type="spellStart"/>
      <w:r w:rsidRPr="00052BD8">
        <w:rPr>
          <w:lang w:eastAsia="en-GB"/>
        </w:rPr>
        <w:t>TxD</w:t>
      </w:r>
      <w:proofErr w:type="spellEnd"/>
      <w:r w:rsidRPr="00052BD8">
        <w:rPr>
          <w:rFonts w:hint="eastAsia"/>
          <w:lang w:eastAsia="en-GB"/>
        </w:rPr>
        <w:t>,</w:t>
      </w:r>
      <w:r w:rsidRPr="00052BD8">
        <w:rPr>
          <w:lang w:eastAsia="en-GB"/>
        </w:rPr>
        <w:t xml:space="preserve"> the upper bound of </w:t>
      </w:r>
      <w:proofErr w:type="spellStart"/>
      <w:proofErr w:type="gramStart"/>
      <w:r w:rsidRPr="00052BD8">
        <w:rPr>
          <w:lang w:eastAsia="en-GB"/>
        </w:rPr>
        <w:t>Pcmax,c</w:t>
      </w:r>
      <w:proofErr w:type="spellEnd"/>
      <w:proofErr w:type="gramEnd"/>
      <w:r w:rsidRPr="00052BD8">
        <w:rPr>
          <w:lang w:eastAsia="en-GB"/>
        </w:rPr>
        <w:t xml:space="preserve"> is 29dBm per CC</w:t>
      </w:r>
    </w:p>
    <w:bookmarkEnd w:id="6"/>
    <w:p w14:paraId="01F63E42"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BF2000" w14:textId="77777777" w:rsidR="00B36F8F" w:rsidRDefault="00B36F8F" w:rsidP="00B36F8F">
      <w:pPr>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201111">
        <w:rPr>
          <w:rFonts w:eastAsia="宋体"/>
          <w:lang w:eastAsia="zh-CN"/>
        </w:rPr>
        <w:t>MPR evaluation framework for PC1.5 intra-band contiguous and non-contiguous CA</w:t>
      </w:r>
      <w:r w:rsidR="00925858">
        <w:rPr>
          <w:rFonts w:eastAsia="宋体"/>
          <w:lang w:eastAsia="zh-CN"/>
        </w:rPr>
        <w:t xml:space="preserve">. The following </w:t>
      </w:r>
      <w:r w:rsidR="00201111">
        <w:rPr>
          <w:rFonts w:eastAsia="宋体"/>
          <w:lang w:eastAsia="zh-CN"/>
        </w:rPr>
        <w:t xml:space="preserve">proposals </w:t>
      </w:r>
      <w:r w:rsidR="00925858">
        <w:rPr>
          <w:rFonts w:eastAsia="宋体"/>
          <w:lang w:eastAsia="zh-CN"/>
        </w:rPr>
        <w:t>are made:</w:t>
      </w:r>
    </w:p>
    <w:p w14:paraId="3587783D" w14:textId="78FB9F94" w:rsidR="000768CB" w:rsidRPr="0019697C" w:rsidRDefault="00BA331D" w:rsidP="00B36F8F">
      <w:pPr>
        <w:rPr>
          <w:rFonts w:eastAsia="等线"/>
          <w:strike/>
          <w:lang w:eastAsia="zh-CN"/>
        </w:rPr>
      </w:pPr>
      <w:bookmarkStart w:id="7" w:name="_Hlk174117628"/>
      <w:bookmarkStart w:id="8" w:name="_Hlk166522587"/>
      <w:r w:rsidRPr="00B359EB">
        <w:rPr>
          <w:rFonts w:eastAsia="等线" w:hint="eastAsia"/>
          <w:b/>
          <w:lang w:eastAsia="zh-CN"/>
        </w:rPr>
        <w:t>Proposal</w:t>
      </w:r>
      <w:r w:rsidRPr="00B359EB">
        <w:rPr>
          <w:rFonts w:eastAsia="等线"/>
          <w:b/>
          <w:lang w:eastAsia="zh-CN"/>
        </w:rPr>
        <w:t xml:space="preserve"> </w:t>
      </w:r>
      <w:r>
        <w:rPr>
          <w:rFonts w:eastAsia="等线"/>
          <w:b/>
          <w:lang w:eastAsia="zh-CN"/>
        </w:rPr>
        <w:t>1</w:t>
      </w:r>
      <w:r w:rsidRPr="00B359EB">
        <w:rPr>
          <w:rFonts w:eastAsia="等线" w:hint="eastAsia"/>
          <w:b/>
          <w:lang w:eastAsia="zh-CN"/>
        </w:rPr>
        <w:t>：</w:t>
      </w:r>
      <w:r>
        <w:rPr>
          <w:rFonts w:eastAsia="等线"/>
          <w:lang w:eastAsia="zh-CN"/>
        </w:rPr>
        <w:t xml:space="preserve">MPR analysis for PC 1.5 UL CA can be a starting point using exiting PC1.5 single carrier and PC2 single carrier and UL CA MPR data. </w:t>
      </w:r>
      <w:bookmarkStart w:id="9" w:name="_Hlk166432968"/>
    </w:p>
    <w:bookmarkEnd w:id="7"/>
    <w:p w14:paraId="207B6891" w14:textId="77777777" w:rsidR="00BA331D" w:rsidRPr="00BA331D" w:rsidRDefault="00BA331D" w:rsidP="00BA331D">
      <w:pPr>
        <w:rPr>
          <w:rFonts w:eastAsia="等线"/>
          <w:lang w:eastAsia="zh-CN"/>
        </w:rPr>
      </w:pPr>
      <w:r w:rsidRPr="00BA331D">
        <w:rPr>
          <w:rFonts w:eastAsia="等线"/>
          <w:b/>
          <w:lang w:eastAsia="zh-CN"/>
        </w:rPr>
        <w:t xml:space="preserve">Proposal 2: </w:t>
      </w:r>
      <w:r w:rsidRPr="00BA331D">
        <w:rPr>
          <w:rFonts w:eastAsia="等线"/>
          <w:lang w:eastAsia="zh-CN"/>
        </w:rPr>
        <w:t xml:space="preserve">These two </w:t>
      </w:r>
      <w:proofErr w:type="spellStart"/>
      <w:proofErr w:type="gramStart"/>
      <w:r w:rsidRPr="00BA331D">
        <w:rPr>
          <w:rFonts w:eastAsia="等线"/>
          <w:lang w:eastAsia="zh-CN"/>
        </w:rPr>
        <w:t>Pcmax,c</w:t>
      </w:r>
      <w:proofErr w:type="spellEnd"/>
      <w:proofErr w:type="gramEnd"/>
      <w:r w:rsidRPr="00BA331D">
        <w:rPr>
          <w:rFonts w:eastAsia="等线"/>
          <w:lang w:eastAsia="zh-CN"/>
        </w:rPr>
        <w:t xml:space="preserve"> restriction are suggested to be captured in configured output power for CA in TS 38.101-1:</w:t>
      </w:r>
    </w:p>
    <w:p w14:paraId="3967510D" w14:textId="77777777" w:rsidR="00BA331D" w:rsidRPr="00BA331D" w:rsidRDefault="00BA331D" w:rsidP="00BA331D">
      <w:pPr>
        <w:numPr>
          <w:ilvl w:val="0"/>
          <w:numId w:val="31"/>
        </w:numPr>
        <w:rPr>
          <w:rFonts w:eastAsia="等线"/>
          <w:lang w:eastAsia="zh-CN"/>
        </w:rPr>
      </w:pPr>
      <w:r w:rsidRPr="00BA331D">
        <w:rPr>
          <w:rFonts w:eastAsia="等线"/>
          <w:lang w:eastAsia="zh-CN"/>
        </w:rPr>
        <w:t>For intra-band UL NC CA with</w:t>
      </w:r>
      <w:r w:rsidRPr="00BA331D">
        <w:rPr>
          <w:rFonts w:eastAsia="等线" w:hint="eastAsia"/>
          <w:lang w:eastAsia="zh-CN"/>
        </w:rPr>
        <w:t xml:space="preserve"> </w:t>
      </w:r>
      <w:proofErr w:type="spellStart"/>
      <w:r w:rsidRPr="00BA331D">
        <w:rPr>
          <w:rFonts w:eastAsia="等线" w:hint="eastAsia"/>
          <w:lang w:eastAsia="zh-CN"/>
        </w:rPr>
        <w:t>dualPA</w:t>
      </w:r>
      <w:proofErr w:type="spellEnd"/>
      <w:r w:rsidRPr="00BA331D">
        <w:rPr>
          <w:rFonts w:eastAsia="等线" w:hint="eastAsia"/>
          <w:lang w:eastAsia="zh-CN"/>
        </w:rPr>
        <w:t>-architecture,</w:t>
      </w:r>
      <w:r w:rsidRPr="00BA331D">
        <w:rPr>
          <w:rFonts w:eastAsia="等线"/>
          <w:lang w:eastAsia="zh-CN"/>
        </w:rPr>
        <w:t xml:space="preserve"> the upper bound of </w:t>
      </w:r>
      <w:proofErr w:type="spellStart"/>
      <w:proofErr w:type="gramStart"/>
      <w:r w:rsidRPr="00BA331D">
        <w:rPr>
          <w:rFonts w:eastAsia="等线"/>
          <w:lang w:eastAsia="zh-CN"/>
        </w:rPr>
        <w:t>Pcmax,c</w:t>
      </w:r>
      <w:proofErr w:type="spellEnd"/>
      <w:proofErr w:type="gramEnd"/>
      <w:r w:rsidRPr="00BA331D">
        <w:rPr>
          <w:rFonts w:eastAsia="等线"/>
          <w:lang w:eastAsia="zh-CN"/>
        </w:rPr>
        <w:t xml:space="preserve"> is 26dBm per CC</w:t>
      </w:r>
    </w:p>
    <w:p w14:paraId="6D5F3409" w14:textId="550215ED" w:rsidR="0038123D" w:rsidRPr="00BA331D" w:rsidRDefault="00BA331D" w:rsidP="00BA331D">
      <w:pPr>
        <w:numPr>
          <w:ilvl w:val="0"/>
          <w:numId w:val="31"/>
        </w:numPr>
        <w:rPr>
          <w:rFonts w:eastAsia="等线"/>
          <w:b/>
          <w:lang w:eastAsia="zh-CN"/>
        </w:rPr>
      </w:pPr>
      <w:r w:rsidRPr="00BA331D">
        <w:rPr>
          <w:rFonts w:eastAsia="等线"/>
          <w:lang w:eastAsia="zh-CN"/>
        </w:rPr>
        <w:t>For intra-band UL contiguous CA with</w:t>
      </w:r>
      <w:r w:rsidRPr="00BA331D">
        <w:rPr>
          <w:rFonts w:eastAsia="等线" w:hint="eastAsia"/>
          <w:lang w:eastAsia="zh-CN"/>
        </w:rPr>
        <w:t xml:space="preserve"> </w:t>
      </w:r>
      <w:proofErr w:type="spellStart"/>
      <w:r w:rsidRPr="00BA331D">
        <w:rPr>
          <w:rFonts w:eastAsia="等线"/>
          <w:lang w:eastAsia="zh-CN"/>
        </w:rPr>
        <w:t>TxD</w:t>
      </w:r>
      <w:proofErr w:type="spellEnd"/>
      <w:r w:rsidRPr="00BA331D">
        <w:rPr>
          <w:rFonts w:eastAsia="等线" w:hint="eastAsia"/>
          <w:lang w:eastAsia="zh-CN"/>
        </w:rPr>
        <w:t>,</w:t>
      </w:r>
      <w:r w:rsidRPr="00BA331D">
        <w:rPr>
          <w:rFonts w:eastAsia="等线"/>
          <w:lang w:eastAsia="zh-CN"/>
        </w:rPr>
        <w:t xml:space="preserve"> the upper bound of </w:t>
      </w:r>
      <w:proofErr w:type="spellStart"/>
      <w:proofErr w:type="gramStart"/>
      <w:r w:rsidRPr="00BA331D">
        <w:rPr>
          <w:rFonts w:eastAsia="等线"/>
          <w:lang w:eastAsia="zh-CN"/>
        </w:rPr>
        <w:t>Pcmax,c</w:t>
      </w:r>
      <w:proofErr w:type="spellEnd"/>
      <w:proofErr w:type="gramEnd"/>
      <w:r w:rsidRPr="00BA331D">
        <w:rPr>
          <w:rFonts w:eastAsia="等线"/>
          <w:lang w:eastAsia="zh-CN"/>
        </w:rPr>
        <w:t xml:space="preserve"> is 29dBm per CC</w:t>
      </w:r>
      <w:bookmarkStart w:id="10" w:name="_Hlk174025262"/>
    </w:p>
    <w:bookmarkEnd w:id="8"/>
    <w:bookmarkEnd w:id="9"/>
    <w:bookmarkEnd w:id="10"/>
    <w:p w14:paraId="291C8E0F" w14:textId="77777777" w:rsidR="00F10F97" w:rsidRDefault="00F10F97" w:rsidP="00F10F97">
      <w:pPr>
        <w:pStyle w:val="1"/>
        <w:numPr>
          <w:ilvl w:val="0"/>
          <w:numId w:val="0"/>
        </w:numPr>
        <w:rPr>
          <w:rFonts w:eastAsia="宋体"/>
          <w:lang w:eastAsia="zh-CN"/>
        </w:rPr>
      </w:pPr>
      <w:r>
        <w:lastRenderedPageBreak/>
        <w:t>References</w:t>
      </w:r>
    </w:p>
    <w:p w14:paraId="74A220A1" w14:textId="5B83926B" w:rsidR="00ED1F4E" w:rsidRDefault="00ED1F4E" w:rsidP="00B54ED7">
      <w:pPr>
        <w:rPr>
          <w:rFonts w:eastAsia="等线"/>
          <w:lang w:eastAsia="zh-CN"/>
        </w:rPr>
      </w:pPr>
      <w:r>
        <w:rPr>
          <w:rFonts w:eastAsia="等线" w:hint="eastAsia"/>
          <w:lang w:eastAsia="zh-CN"/>
        </w:rPr>
        <w:t>[</w:t>
      </w:r>
      <w:r w:rsidR="00346CA6">
        <w:rPr>
          <w:rFonts w:eastAsia="等线"/>
          <w:lang w:eastAsia="zh-CN"/>
        </w:rPr>
        <w:t>1</w:t>
      </w:r>
      <w:r>
        <w:rPr>
          <w:rFonts w:eastAsia="等线"/>
          <w:lang w:eastAsia="zh-CN"/>
        </w:rPr>
        <w:t xml:space="preserve">] </w:t>
      </w:r>
      <w:r w:rsidRPr="00ED1F4E">
        <w:rPr>
          <w:rFonts w:eastAsia="等线"/>
          <w:lang w:eastAsia="zh-CN"/>
        </w:rPr>
        <w:t>R4-2414277</w:t>
      </w:r>
      <w:r>
        <w:rPr>
          <w:rFonts w:eastAsia="等线"/>
          <w:lang w:eastAsia="zh-CN"/>
        </w:rPr>
        <w:t xml:space="preserve">, </w:t>
      </w:r>
      <w:r w:rsidRPr="00ED1F4E">
        <w:rPr>
          <w:rFonts w:eastAsia="等线"/>
          <w:lang w:eastAsia="zh-CN"/>
        </w:rPr>
        <w:t>WF on HPUE for CA in TN</w:t>
      </w:r>
      <w:r>
        <w:rPr>
          <w:rFonts w:eastAsia="等线"/>
          <w:lang w:eastAsia="zh-CN"/>
        </w:rPr>
        <w:t>, Samsung, RAN4#112.</w:t>
      </w:r>
    </w:p>
    <w:p w14:paraId="2C3BA90E" w14:textId="619504E9" w:rsidR="00546EFC" w:rsidRDefault="00546EFC" w:rsidP="00B54ED7">
      <w:pPr>
        <w:rPr>
          <w:rFonts w:eastAsia="等线"/>
          <w:lang w:eastAsia="zh-CN"/>
        </w:rPr>
      </w:pPr>
      <w:r>
        <w:rPr>
          <w:rFonts w:eastAsia="等线"/>
          <w:lang w:eastAsia="zh-CN"/>
        </w:rPr>
        <w:t>[2]</w:t>
      </w:r>
      <w:r w:rsidR="00BA331D">
        <w:rPr>
          <w:rFonts w:eastAsia="等线"/>
          <w:lang w:eastAsia="zh-CN"/>
        </w:rPr>
        <w:t xml:space="preserve"> </w:t>
      </w:r>
      <w:r>
        <w:rPr>
          <w:rFonts w:eastAsia="等线"/>
          <w:lang w:eastAsia="zh-CN"/>
        </w:rPr>
        <w:t xml:space="preserve">R4-2411168, </w:t>
      </w:r>
      <w:r w:rsidRPr="00546EFC">
        <w:rPr>
          <w:rFonts w:eastAsia="等线"/>
          <w:lang w:eastAsia="zh-CN"/>
        </w:rPr>
        <w:t>MPR for PC1.5 intra-band contiguous UL CA</w:t>
      </w:r>
      <w:r>
        <w:rPr>
          <w:rFonts w:eastAsia="等线"/>
          <w:lang w:eastAsia="zh-CN"/>
        </w:rPr>
        <w:t>, Apple, RAN4#112.</w:t>
      </w:r>
    </w:p>
    <w:p w14:paraId="3D72F1A8" w14:textId="77777777" w:rsidR="0009717D" w:rsidRPr="00BF16C6" w:rsidRDefault="0009717D" w:rsidP="00765B3D">
      <w:pPr>
        <w:rPr>
          <w:rFonts w:eastAsia="等线"/>
        </w:rPr>
      </w:pPr>
    </w:p>
    <w:sectPr w:rsidR="0009717D" w:rsidRPr="00BF16C6" w:rsidSect="002B4B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5D6EC" w14:textId="77777777" w:rsidR="00D80D55" w:rsidRDefault="00D80D55">
      <w:r>
        <w:separator/>
      </w:r>
    </w:p>
  </w:endnote>
  <w:endnote w:type="continuationSeparator" w:id="0">
    <w:p w14:paraId="78856C10" w14:textId="77777777" w:rsidR="00D80D55" w:rsidRDefault="00D80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0074F7F" w14:textId="77777777" w:rsidR="002B4B2F" w:rsidRDefault="002B4B2F">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63819D38" w14:textId="77777777" w:rsidR="002B7B60" w:rsidRDefault="002B7B6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9CB336" w14:textId="77777777" w:rsidR="00D80D55" w:rsidRDefault="00D80D55">
      <w:r>
        <w:separator/>
      </w:r>
    </w:p>
  </w:footnote>
  <w:footnote w:type="continuationSeparator" w:id="0">
    <w:p w14:paraId="62C15F70" w14:textId="77777777" w:rsidR="00D80D55" w:rsidRDefault="00D80D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AF27AA"/>
    <w:multiLevelType w:val="hybridMultilevel"/>
    <w:tmpl w:val="6E5AE6EE"/>
    <w:lvl w:ilvl="0" w:tplc="EEF49B16">
      <w:start w:val="1"/>
      <w:numFmt w:val="bullet"/>
      <w:lvlText w:val="•"/>
      <w:lvlJc w:val="left"/>
      <w:pPr>
        <w:tabs>
          <w:tab w:val="num" w:pos="720"/>
        </w:tabs>
        <w:ind w:left="720" w:hanging="360"/>
      </w:pPr>
      <w:rPr>
        <w:rFonts w:ascii="Arial" w:hAnsi="Arial" w:hint="default"/>
      </w:rPr>
    </w:lvl>
    <w:lvl w:ilvl="1" w:tplc="33E0767C">
      <w:numFmt w:val="bullet"/>
      <w:lvlText w:val="•"/>
      <w:lvlJc w:val="left"/>
      <w:pPr>
        <w:tabs>
          <w:tab w:val="num" w:pos="1440"/>
        </w:tabs>
        <w:ind w:left="1440" w:hanging="360"/>
      </w:pPr>
      <w:rPr>
        <w:rFonts w:ascii="Arial" w:hAnsi="Arial" w:hint="default"/>
      </w:rPr>
    </w:lvl>
    <w:lvl w:ilvl="2" w:tplc="F42CE378">
      <w:start w:val="1"/>
      <w:numFmt w:val="bullet"/>
      <w:lvlText w:val="•"/>
      <w:lvlJc w:val="left"/>
      <w:pPr>
        <w:tabs>
          <w:tab w:val="num" w:pos="2160"/>
        </w:tabs>
        <w:ind w:left="2160" w:hanging="360"/>
      </w:pPr>
      <w:rPr>
        <w:rFonts w:ascii="Arial" w:hAnsi="Arial" w:hint="default"/>
      </w:rPr>
    </w:lvl>
    <w:lvl w:ilvl="3" w:tplc="35066D84" w:tentative="1">
      <w:start w:val="1"/>
      <w:numFmt w:val="bullet"/>
      <w:lvlText w:val="•"/>
      <w:lvlJc w:val="left"/>
      <w:pPr>
        <w:tabs>
          <w:tab w:val="num" w:pos="2880"/>
        </w:tabs>
        <w:ind w:left="2880" w:hanging="360"/>
      </w:pPr>
      <w:rPr>
        <w:rFonts w:ascii="Arial" w:hAnsi="Arial" w:hint="default"/>
      </w:rPr>
    </w:lvl>
    <w:lvl w:ilvl="4" w:tplc="DDA20B86" w:tentative="1">
      <w:start w:val="1"/>
      <w:numFmt w:val="bullet"/>
      <w:lvlText w:val="•"/>
      <w:lvlJc w:val="left"/>
      <w:pPr>
        <w:tabs>
          <w:tab w:val="num" w:pos="3600"/>
        </w:tabs>
        <w:ind w:left="3600" w:hanging="360"/>
      </w:pPr>
      <w:rPr>
        <w:rFonts w:ascii="Arial" w:hAnsi="Arial" w:hint="default"/>
      </w:rPr>
    </w:lvl>
    <w:lvl w:ilvl="5" w:tplc="7286FE4A" w:tentative="1">
      <w:start w:val="1"/>
      <w:numFmt w:val="bullet"/>
      <w:lvlText w:val="•"/>
      <w:lvlJc w:val="left"/>
      <w:pPr>
        <w:tabs>
          <w:tab w:val="num" w:pos="4320"/>
        </w:tabs>
        <w:ind w:left="4320" w:hanging="360"/>
      </w:pPr>
      <w:rPr>
        <w:rFonts w:ascii="Arial" w:hAnsi="Arial" w:hint="default"/>
      </w:rPr>
    </w:lvl>
    <w:lvl w:ilvl="6" w:tplc="1114766A" w:tentative="1">
      <w:start w:val="1"/>
      <w:numFmt w:val="bullet"/>
      <w:lvlText w:val="•"/>
      <w:lvlJc w:val="left"/>
      <w:pPr>
        <w:tabs>
          <w:tab w:val="num" w:pos="5040"/>
        </w:tabs>
        <w:ind w:left="5040" w:hanging="360"/>
      </w:pPr>
      <w:rPr>
        <w:rFonts w:ascii="Arial" w:hAnsi="Arial" w:hint="default"/>
      </w:rPr>
    </w:lvl>
    <w:lvl w:ilvl="7" w:tplc="4AD2CEDE" w:tentative="1">
      <w:start w:val="1"/>
      <w:numFmt w:val="bullet"/>
      <w:lvlText w:val="•"/>
      <w:lvlJc w:val="left"/>
      <w:pPr>
        <w:tabs>
          <w:tab w:val="num" w:pos="5760"/>
        </w:tabs>
        <w:ind w:left="5760" w:hanging="360"/>
      </w:pPr>
      <w:rPr>
        <w:rFonts w:ascii="Arial" w:hAnsi="Arial" w:hint="default"/>
      </w:rPr>
    </w:lvl>
    <w:lvl w:ilvl="8" w:tplc="B6B016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86A41F5"/>
    <w:multiLevelType w:val="multilevel"/>
    <w:tmpl w:val="4ACCF1B2"/>
    <w:lvl w:ilvl="0">
      <w:start w:val="2"/>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4E3B0103"/>
    <w:multiLevelType w:val="hybridMultilevel"/>
    <w:tmpl w:val="F2DC7EF2"/>
    <w:lvl w:ilvl="0" w:tplc="BE1E10F4">
      <w:start w:val="1"/>
      <w:numFmt w:val="bullet"/>
      <w:lvlText w:val=""/>
      <w:lvlJc w:val="left"/>
      <w:pPr>
        <w:ind w:left="1854" w:hanging="420"/>
      </w:pPr>
      <w:rPr>
        <w:rFonts w:ascii="Wingdings" w:hAnsi="Wingdings" w:hint="default"/>
      </w:rPr>
    </w:lvl>
    <w:lvl w:ilvl="1" w:tplc="04090003">
      <w:start w:val="1"/>
      <w:numFmt w:val="bullet"/>
      <w:lvlText w:val=""/>
      <w:lvlJc w:val="left"/>
      <w:pPr>
        <w:ind w:left="2274" w:hanging="420"/>
      </w:pPr>
      <w:rPr>
        <w:rFonts w:ascii="Wingdings" w:hAnsi="Wingdings" w:hint="default"/>
      </w:rPr>
    </w:lvl>
    <w:lvl w:ilvl="2" w:tplc="04090005" w:tentative="1">
      <w:start w:val="1"/>
      <w:numFmt w:val="bullet"/>
      <w:lvlText w:val=""/>
      <w:lvlJc w:val="left"/>
      <w:pPr>
        <w:ind w:left="2694" w:hanging="420"/>
      </w:pPr>
      <w:rPr>
        <w:rFonts w:ascii="Wingdings" w:hAnsi="Wingdings" w:hint="default"/>
      </w:rPr>
    </w:lvl>
    <w:lvl w:ilvl="3" w:tplc="04090001" w:tentative="1">
      <w:start w:val="1"/>
      <w:numFmt w:val="bullet"/>
      <w:lvlText w:val=""/>
      <w:lvlJc w:val="left"/>
      <w:pPr>
        <w:ind w:left="3114" w:hanging="420"/>
      </w:pPr>
      <w:rPr>
        <w:rFonts w:ascii="Wingdings" w:hAnsi="Wingdings" w:hint="default"/>
      </w:rPr>
    </w:lvl>
    <w:lvl w:ilvl="4" w:tplc="04090003" w:tentative="1">
      <w:start w:val="1"/>
      <w:numFmt w:val="bullet"/>
      <w:lvlText w:val=""/>
      <w:lvlJc w:val="left"/>
      <w:pPr>
        <w:ind w:left="3534" w:hanging="420"/>
      </w:pPr>
      <w:rPr>
        <w:rFonts w:ascii="Wingdings" w:hAnsi="Wingdings" w:hint="default"/>
      </w:rPr>
    </w:lvl>
    <w:lvl w:ilvl="5" w:tplc="04090005" w:tentative="1">
      <w:start w:val="1"/>
      <w:numFmt w:val="bullet"/>
      <w:lvlText w:val=""/>
      <w:lvlJc w:val="left"/>
      <w:pPr>
        <w:ind w:left="3954" w:hanging="420"/>
      </w:pPr>
      <w:rPr>
        <w:rFonts w:ascii="Wingdings" w:hAnsi="Wingdings" w:hint="default"/>
      </w:rPr>
    </w:lvl>
    <w:lvl w:ilvl="6" w:tplc="04090001" w:tentative="1">
      <w:start w:val="1"/>
      <w:numFmt w:val="bullet"/>
      <w:lvlText w:val=""/>
      <w:lvlJc w:val="left"/>
      <w:pPr>
        <w:ind w:left="4374" w:hanging="420"/>
      </w:pPr>
      <w:rPr>
        <w:rFonts w:ascii="Wingdings" w:hAnsi="Wingdings" w:hint="default"/>
      </w:rPr>
    </w:lvl>
    <w:lvl w:ilvl="7" w:tplc="04090003" w:tentative="1">
      <w:start w:val="1"/>
      <w:numFmt w:val="bullet"/>
      <w:lvlText w:val=""/>
      <w:lvlJc w:val="left"/>
      <w:pPr>
        <w:ind w:left="4794" w:hanging="420"/>
      </w:pPr>
      <w:rPr>
        <w:rFonts w:ascii="Wingdings" w:hAnsi="Wingdings" w:hint="default"/>
      </w:rPr>
    </w:lvl>
    <w:lvl w:ilvl="8" w:tplc="04090005" w:tentative="1">
      <w:start w:val="1"/>
      <w:numFmt w:val="bullet"/>
      <w:lvlText w:val=""/>
      <w:lvlJc w:val="left"/>
      <w:pPr>
        <w:ind w:left="5214" w:hanging="420"/>
      </w:pPr>
      <w:rPr>
        <w:rFonts w:ascii="Wingdings" w:hAnsi="Wingdings" w:hint="default"/>
      </w:rPr>
    </w:lvl>
  </w:abstractNum>
  <w:abstractNum w:abstractNumId="16" w15:restartNumberingAfterBreak="0">
    <w:nsid w:val="4F953C44"/>
    <w:multiLevelType w:val="hybridMultilevel"/>
    <w:tmpl w:val="6B46BE62"/>
    <w:lvl w:ilvl="0" w:tplc="2FC4C0DA">
      <w:start w:val="1"/>
      <w:numFmt w:val="bullet"/>
      <w:lvlText w:val="•"/>
      <w:lvlJc w:val="left"/>
      <w:pPr>
        <w:tabs>
          <w:tab w:val="num" w:pos="720"/>
        </w:tabs>
        <w:ind w:left="720" w:hanging="360"/>
      </w:pPr>
      <w:rPr>
        <w:rFonts w:ascii="Arial" w:hAnsi="Arial" w:hint="default"/>
      </w:rPr>
    </w:lvl>
    <w:lvl w:ilvl="1" w:tplc="F2F2E656">
      <w:numFmt w:val="bullet"/>
      <w:lvlText w:val="•"/>
      <w:lvlJc w:val="left"/>
      <w:pPr>
        <w:tabs>
          <w:tab w:val="num" w:pos="1440"/>
        </w:tabs>
        <w:ind w:left="1440" w:hanging="360"/>
      </w:pPr>
      <w:rPr>
        <w:rFonts w:ascii="Arial" w:hAnsi="Arial" w:hint="default"/>
      </w:rPr>
    </w:lvl>
    <w:lvl w:ilvl="2" w:tplc="EE9EC758">
      <w:numFmt w:val="bullet"/>
      <w:lvlText w:val="•"/>
      <w:lvlJc w:val="left"/>
      <w:pPr>
        <w:tabs>
          <w:tab w:val="num" w:pos="2160"/>
        </w:tabs>
        <w:ind w:left="2160" w:hanging="360"/>
      </w:pPr>
      <w:rPr>
        <w:rFonts w:ascii="Arial" w:hAnsi="Arial" w:hint="default"/>
      </w:rPr>
    </w:lvl>
    <w:lvl w:ilvl="3" w:tplc="08482DD8" w:tentative="1">
      <w:start w:val="1"/>
      <w:numFmt w:val="bullet"/>
      <w:lvlText w:val="•"/>
      <w:lvlJc w:val="left"/>
      <w:pPr>
        <w:tabs>
          <w:tab w:val="num" w:pos="2880"/>
        </w:tabs>
        <w:ind w:left="2880" w:hanging="360"/>
      </w:pPr>
      <w:rPr>
        <w:rFonts w:ascii="Arial" w:hAnsi="Arial" w:hint="default"/>
      </w:rPr>
    </w:lvl>
    <w:lvl w:ilvl="4" w:tplc="3B30EDAA" w:tentative="1">
      <w:start w:val="1"/>
      <w:numFmt w:val="bullet"/>
      <w:lvlText w:val="•"/>
      <w:lvlJc w:val="left"/>
      <w:pPr>
        <w:tabs>
          <w:tab w:val="num" w:pos="3600"/>
        </w:tabs>
        <w:ind w:left="3600" w:hanging="360"/>
      </w:pPr>
      <w:rPr>
        <w:rFonts w:ascii="Arial" w:hAnsi="Arial" w:hint="default"/>
      </w:rPr>
    </w:lvl>
    <w:lvl w:ilvl="5" w:tplc="2ED2B0F2" w:tentative="1">
      <w:start w:val="1"/>
      <w:numFmt w:val="bullet"/>
      <w:lvlText w:val="•"/>
      <w:lvlJc w:val="left"/>
      <w:pPr>
        <w:tabs>
          <w:tab w:val="num" w:pos="4320"/>
        </w:tabs>
        <w:ind w:left="4320" w:hanging="360"/>
      </w:pPr>
      <w:rPr>
        <w:rFonts w:ascii="Arial" w:hAnsi="Arial" w:hint="default"/>
      </w:rPr>
    </w:lvl>
    <w:lvl w:ilvl="6" w:tplc="EA98479C" w:tentative="1">
      <w:start w:val="1"/>
      <w:numFmt w:val="bullet"/>
      <w:lvlText w:val="•"/>
      <w:lvlJc w:val="left"/>
      <w:pPr>
        <w:tabs>
          <w:tab w:val="num" w:pos="5040"/>
        </w:tabs>
        <w:ind w:left="5040" w:hanging="360"/>
      </w:pPr>
      <w:rPr>
        <w:rFonts w:ascii="Arial" w:hAnsi="Arial" w:hint="default"/>
      </w:rPr>
    </w:lvl>
    <w:lvl w:ilvl="7" w:tplc="82D0FA6A" w:tentative="1">
      <w:start w:val="1"/>
      <w:numFmt w:val="bullet"/>
      <w:lvlText w:val="•"/>
      <w:lvlJc w:val="left"/>
      <w:pPr>
        <w:tabs>
          <w:tab w:val="num" w:pos="5760"/>
        </w:tabs>
        <w:ind w:left="5760" w:hanging="360"/>
      </w:pPr>
      <w:rPr>
        <w:rFonts w:ascii="Arial" w:hAnsi="Arial" w:hint="default"/>
      </w:rPr>
    </w:lvl>
    <w:lvl w:ilvl="8" w:tplc="70A4BB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8CC6529"/>
    <w:multiLevelType w:val="hybridMultilevel"/>
    <w:tmpl w:val="278A32D0"/>
    <w:lvl w:ilvl="0" w:tplc="08090001">
      <w:start w:val="1"/>
      <w:numFmt w:val="bullet"/>
      <w:lvlText w:val=""/>
      <w:lvlJc w:val="left"/>
      <w:pPr>
        <w:ind w:left="936" w:hanging="360"/>
      </w:pPr>
      <w:rPr>
        <w:rFonts w:ascii="Symbol" w:hAnsi="Symbol" w:hint="default"/>
      </w:rPr>
    </w:lvl>
    <w:lvl w:ilvl="1" w:tplc="BE1E10F4">
      <w:start w:val="1"/>
      <w:numFmt w:val="bullet"/>
      <w:lvlText w:val=""/>
      <w:lvlJc w:val="left"/>
      <w:pPr>
        <w:ind w:left="1656" w:hanging="360"/>
      </w:pPr>
      <w:rPr>
        <w:rFonts w:ascii="Wingdings" w:hAnsi="Wingdings" w:hint="default"/>
      </w:rPr>
    </w:lvl>
    <w:lvl w:ilvl="2" w:tplc="75526734">
      <w:start w:val="2"/>
      <w:numFmt w:val="bullet"/>
      <w:lvlText w:val="-"/>
      <w:lvlJc w:val="left"/>
      <w:pPr>
        <w:ind w:left="2376" w:hanging="360"/>
      </w:pPr>
      <w:rPr>
        <w:rFonts w:ascii="Times New Roman" w:eastAsia="宋体"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8DE041F"/>
    <w:multiLevelType w:val="hybridMultilevel"/>
    <w:tmpl w:val="6D304C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21"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3800B6"/>
    <w:multiLevelType w:val="hybridMultilevel"/>
    <w:tmpl w:val="7B3C4FA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642EFD"/>
    <w:multiLevelType w:val="hybridMultilevel"/>
    <w:tmpl w:val="B8CCF908"/>
    <w:lvl w:ilvl="0" w:tplc="585A02A0">
      <w:start w:val="1"/>
      <w:numFmt w:val="bullet"/>
      <w:lvlText w:val="•"/>
      <w:lvlJc w:val="left"/>
      <w:pPr>
        <w:tabs>
          <w:tab w:val="num" w:pos="720"/>
        </w:tabs>
        <w:ind w:left="720" w:hanging="360"/>
      </w:pPr>
      <w:rPr>
        <w:rFonts w:ascii="Arial" w:hAnsi="Arial" w:hint="default"/>
      </w:rPr>
    </w:lvl>
    <w:lvl w:ilvl="1" w:tplc="27A8A856">
      <w:numFmt w:val="bullet"/>
      <w:lvlText w:val="•"/>
      <w:lvlJc w:val="left"/>
      <w:pPr>
        <w:tabs>
          <w:tab w:val="num" w:pos="1440"/>
        </w:tabs>
        <w:ind w:left="1440" w:hanging="360"/>
      </w:pPr>
      <w:rPr>
        <w:rFonts w:ascii="Arial" w:hAnsi="Arial" w:hint="default"/>
      </w:rPr>
    </w:lvl>
    <w:lvl w:ilvl="2" w:tplc="662C0BBC" w:tentative="1">
      <w:start w:val="1"/>
      <w:numFmt w:val="bullet"/>
      <w:lvlText w:val="•"/>
      <w:lvlJc w:val="left"/>
      <w:pPr>
        <w:tabs>
          <w:tab w:val="num" w:pos="2160"/>
        </w:tabs>
        <w:ind w:left="2160" w:hanging="360"/>
      </w:pPr>
      <w:rPr>
        <w:rFonts w:ascii="Arial" w:hAnsi="Arial" w:hint="default"/>
      </w:rPr>
    </w:lvl>
    <w:lvl w:ilvl="3" w:tplc="AB02ED80" w:tentative="1">
      <w:start w:val="1"/>
      <w:numFmt w:val="bullet"/>
      <w:lvlText w:val="•"/>
      <w:lvlJc w:val="left"/>
      <w:pPr>
        <w:tabs>
          <w:tab w:val="num" w:pos="2880"/>
        </w:tabs>
        <w:ind w:left="2880" w:hanging="360"/>
      </w:pPr>
      <w:rPr>
        <w:rFonts w:ascii="Arial" w:hAnsi="Arial" w:hint="default"/>
      </w:rPr>
    </w:lvl>
    <w:lvl w:ilvl="4" w:tplc="F702B222" w:tentative="1">
      <w:start w:val="1"/>
      <w:numFmt w:val="bullet"/>
      <w:lvlText w:val="•"/>
      <w:lvlJc w:val="left"/>
      <w:pPr>
        <w:tabs>
          <w:tab w:val="num" w:pos="3600"/>
        </w:tabs>
        <w:ind w:left="3600" w:hanging="360"/>
      </w:pPr>
      <w:rPr>
        <w:rFonts w:ascii="Arial" w:hAnsi="Arial" w:hint="default"/>
      </w:rPr>
    </w:lvl>
    <w:lvl w:ilvl="5" w:tplc="34422E10" w:tentative="1">
      <w:start w:val="1"/>
      <w:numFmt w:val="bullet"/>
      <w:lvlText w:val="•"/>
      <w:lvlJc w:val="left"/>
      <w:pPr>
        <w:tabs>
          <w:tab w:val="num" w:pos="4320"/>
        </w:tabs>
        <w:ind w:left="4320" w:hanging="360"/>
      </w:pPr>
      <w:rPr>
        <w:rFonts w:ascii="Arial" w:hAnsi="Arial" w:hint="default"/>
      </w:rPr>
    </w:lvl>
    <w:lvl w:ilvl="6" w:tplc="8E76A620" w:tentative="1">
      <w:start w:val="1"/>
      <w:numFmt w:val="bullet"/>
      <w:lvlText w:val="•"/>
      <w:lvlJc w:val="left"/>
      <w:pPr>
        <w:tabs>
          <w:tab w:val="num" w:pos="5040"/>
        </w:tabs>
        <w:ind w:left="5040" w:hanging="360"/>
      </w:pPr>
      <w:rPr>
        <w:rFonts w:ascii="Arial" w:hAnsi="Arial" w:hint="default"/>
      </w:rPr>
    </w:lvl>
    <w:lvl w:ilvl="7" w:tplc="83C23946" w:tentative="1">
      <w:start w:val="1"/>
      <w:numFmt w:val="bullet"/>
      <w:lvlText w:val="•"/>
      <w:lvlJc w:val="left"/>
      <w:pPr>
        <w:tabs>
          <w:tab w:val="num" w:pos="5760"/>
        </w:tabs>
        <w:ind w:left="5760" w:hanging="360"/>
      </w:pPr>
      <w:rPr>
        <w:rFonts w:ascii="Arial" w:hAnsi="Arial" w:hint="default"/>
      </w:rPr>
    </w:lvl>
    <w:lvl w:ilvl="8" w:tplc="9F7A95C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0"/>
  </w:num>
  <w:num w:numId="3">
    <w:abstractNumId w:val="12"/>
  </w:num>
  <w:num w:numId="4">
    <w:abstractNumId w:val="28"/>
  </w:num>
  <w:num w:numId="5">
    <w:abstractNumId w:val="9"/>
  </w:num>
  <w:num w:numId="6">
    <w:abstractNumId w:val="4"/>
  </w:num>
  <w:num w:numId="7">
    <w:abstractNumId w:val="13"/>
  </w:num>
  <w:num w:numId="8">
    <w:abstractNumId w:val="7"/>
  </w:num>
  <w:num w:numId="9">
    <w:abstractNumId w:val="24"/>
  </w:num>
  <w:num w:numId="10">
    <w:abstractNumId w:val="0"/>
  </w:num>
  <w:num w:numId="11">
    <w:abstractNumId w:val="2"/>
  </w:num>
  <w:num w:numId="12">
    <w:abstractNumId w:val="25"/>
  </w:num>
  <w:num w:numId="13">
    <w:abstractNumId w:val="8"/>
  </w:num>
  <w:num w:numId="14">
    <w:abstractNumId w:val="22"/>
  </w:num>
  <w:num w:numId="15">
    <w:abstractNumId w:val="20"/>
  </w:num>
  <w:num w:numId="16">
    <w:abstractNumId w:val="23"/>
  </w:num>
  <w:num w:numId="17">
    <w:abstractNumId w:val="13"/>
  </w:num>
  <w:num w:numId="18">
    <w:abstractNumId w:val="1"/>
  </w:num>
  <w:num w:numId="19">
    <w:abstractNumId w:val="3"/>
  </w:num>
  <w:num w:numId="20">
    <w:abstractNumId w:val="26"/>
  </w:num>
  <w:num w:numId="21">
    <w:abstractNumId w:val="6"/>
  </w:num>
  <w:num w:numId="22">
    <w:abstractNumId w:val="13"/>
  </w:num>
  <w:num w:numId="23">
    <w:abstractNumId w:val="27"/>
  </w:num>
  <w:num w:numId="24">
    <w:abstractNumId w:val="11"/>
  </w:num>
  <w:num w:numId="25">
    <w:abstractNumId w:val="29"/>
  </w:num>
  <w:num w:numId="26">
    <w:abstractNumId w:val="16"/>
  </w:num>
  <w:num w:numId="27">
    <w:abstractNumId w:val="13"/>
  </w:num>
  <w:num w:numId="28">
    <w:abstractNumId w:val="1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8"/>
  </w:num>
  <w:num w:numId="31">
    <w:abstractNumId w:val="21"/>
  </w:num>
  <w:num w:numId="32">
    <w:abstractNumId w:val="19"/>
  </w:num>
  <w:num w:numId="3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55C"/>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738"/>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2BD8"/>
    <w:rsid w:val="00053083"/>
    <w:rsid w:val="0005317F"/>
    <w:rsid w:val="0005366B"/>
    <w:rsid w:val="00053841"/>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28FB"/>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6D74"/>
    <w:rsid w:val="000D743F"/>
    <w:rsid w:val="000D765D"/>
    <w:rsid w:val="000D7986"/>
    <w:rsid w:val="000D7C54"/>
    <w:rsid w:val="000D7E31"/>
    <w:rsid w:val="000D7E93"/>
    <w:rsid w:val="000E014D"/>
    <w:rsid w:val="000E0647"/>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643C"/>
    <w:rsid w:val="000F68F1"/>
    <w:rsid w:val="000F690C"/>
    <w:rsid w:val="000F6A99"/>
    <w:rsid w:val="000F6DDF"/>
    <w:rsid w:val="000F70E0"/>
    <w:rsid w:val="000F7382"/>
    <w:rsid w:val="000F7EEB"/>
    <w:rsid w:val="00100615"/>
    <w:rsid w:val="0010092D"/>
    <w:rsid w:val="00100ED8"/>
    <w:rsid w:val="00100F1D"/>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870"/>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71"/>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97C"/>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4C7B"/>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0A12"/>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111"/>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B5E"/>
    <w:rsid w:val="00216D41"/>
    <w:rsid w:val="00216D56"/>
    <w:rsid w:val="002173CC"/>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A56"/>
    <w:rsid w:val="00225CA5"/>
    <w:rsid w:val="00225E3F"/>
    <w:rsid w:val="002264BB"/>
    <w:rsid w:val="00226A72"/>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00C"/>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08D"/>
    <w:rsid w:val="00260116"/>
    <w:rsid w:val="00260424"/>
    <w:rsid w:val="002609AC"/>
    <w:rsid w:val="00260CB9"/>
    <w:rsid w:val="00261071"/>
    <w:rsid w:val="00261103"/>
    <w:rsid w:val="00261D36"/>
    <w:rsid w:val="00262597"/>
    <w:rsid w:val="00262996"/>
    <w:rsid w:val="002629DD"/>
    <w:rsid w:val="00262B41"/>
    <w:rsid w:val="00262CE2"/>
    <w:rsid w:val="00262E3A"/>
    <w:rsid w:val="00262FD9"/>
    <w:rsid w:val="0026385D"/>
    <w:rsid w:val="00264365"/>
    <w:rsid w:val="002648C0"/>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4B2F"/>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A4"/>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379E7"/>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6CA6"/>
    <w:rsid w:val="003475CD"/>
    <w:rsid w:val="00347818"/>
    <w:rsid w:val="00350393"/>
    <w:rsid w:val="00350E88"/>
    <w:rsid w:val="00350F2A"/>
    <w:rsid w:val="00351204"/>
    <w:rsid w:val="003527B2"/>
    <w:rsid w:val="003529B8"/>
    <w:rsid w:val="00352EED"/>
    <w:rsid w:val="00352F6E"/>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123D"/>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D8"/>
    <w:rsid w:val="003B1C9D"/>
    <w:rsid w:val="003B1E60"/>
    <w:rsid w:val="003B1F56"/>
    <w:rsid w:val="003B1FEF"/>
    <w:rsid w:val="003B20BF"/>
    <w:rsid w:val="003B2249"/>
    <w:rsid w:val="003B2B4C"/>
    <w:rsid w:val="003B2FD4"/>
    <w:rsid w:val="003B3998"/>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D7E74"/>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0CE"/>
    <w:rsid w:val="003F0446"/>
    <w:rsid w:val="003F04FD"/>
    <w:rsid w:val="003F0D60"/>
    <w:rsid w:val="003F0DA9"/>
    <w:rsid w:val="003F13F9"/>
    <w:rsid w:val="003F163F"/>
    <w:rsid w:val="003F1884"/>
    <w:rsid w:val="003F18A6"/>
    <w:rsid w:val="003F1C38"/>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CFC"/>
    <w:rsid w:val="00444DA8"/>
    <w:rsid w:val="00444EA5"/>
    <w:rsid w:val="004453CF"/>
    <w:rsid w:val="00445828"/>
    <w:rsid w:val="00445B93"/>
    <w:rsid w:val="00445CEA"/>
    <w:rsid w:val="00445FB2"/>
    <w:rsid w:val="004508E8"/>
    <w:rsid w:val="00450C01"/>
    <w:rsid w:val="004514B4"/>
    <w:rsid w:val="004518E0"/>
    <w:rsid w:val="00452487"/>
    <w:rsid w:val="004526DF"/>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32"/>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1A4"/>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5F21"/>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042"/>
    <w:rsid w:val="00536850"/>
    <w:rsid w:val="00536AC8"/>
    <w:rsid w:val="00537430"/>
    <w:rsid w:val="005374E4"/>
    <w:rsid w:val="00540611"/>
    <w:rsid w:val="00541579"/>
    <w:rsid w:val="005424BE"/>
    <w:rsid w:val="005430FE"/>
    <w:rsid w:val="0054466D"/>
    <w:rsid w:val="005447C4"/>
    <w:rsid w:val="00544C4E"/>
    <w:rsid w:val="00545158"/>
    <w:rsid w:val="005452E2"/>
    <w:rsid w:val="00545C9D"/>
    <w:rsid w:val="00545F72"/>
    <w:rsid w:val="0054669F"/>
    <w:rsid w:val="005468DA"/>
    <w:rsid w:val="005468EB"/>
    <w:rsid w:val="00546EFC"/>
    <w:rsid w:val="0054769B"/>
    <w:rsid w:val="00547C2B"/>
    <w:rsid w:val="00547DFE"/>
    <w:rsid w:val="00550583"/>
    <w:rsid w:val="00550A34"/>
    <w:rsid w:val="00550C47"/>
    <w:rsid w:val="00550FDA"/>
    <w:rsid w:val="00551595"/>
    <w:rsid w:val="00551ED9"/>
    <w:rsid w:val="00551FE8"/>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D0"/>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488E"/>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C92"/>
    <w:rsid w:val="0062322C"/>
    <w:rsid w:val="00623CC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AFF"/>
    <w:rsid w:val="00633CB5"/>
    <w:rsid w:val="00634B66"/>
    <w:rsid w:val="00634BD4"/>
    <w:rsid w:val="0063525A"/>
    <w:rsid w:val="00635496"/>
    <w:rsid w:val="00635498"/>
    <w:rsid w:val="006358BA"/>
    <w:rsid w:val="006358D6"/>
    <w:rsid w:val="006358FE"/>
    <w:rsid w:val="006365C0"/>
    <w:rsid w:val="00636864"/>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246"/>
    <w:rsid w:val="006523F3"/>
    <w:rsid w:val="00652C94"/>
    <w:rsid w:val="00653279"/>
    <w:rsid w:val="006533F5"/>
    <w:rsid w:val="00653D22"/>
    <w:rsid w:val="006550A4"/>
    <w:rsid w:val="006551B4"/>
    <w:rsid w:val="006554D4"/>
    <w:rsid w:val="0065569B"/>
    <w:rsid w:val="00656076"/>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7F"/>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896"/>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CEE"/>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33A"/>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7C"/>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0DF"/>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1D86"/>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3031"/>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AD3"/>
    <w:rsid w:val="00804EC6"/>
    <w:rsid w:val="00805355"/>
    <w:rsid w:val="00805B99"/>
    <w:rsid w:val="00805BA3"/>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5C8"/>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512"/>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3368"/>
    <w:rsid w:val="008A3B1E"/>
    <w:rsid w:val="008A3C0E"/>
    <w:rsid w:val="008A3F9C"/>
    <w:rsid w:val="008A478E"/>
    <w:rsid w:val="008A47A3"/>
    <w:rsid w:val="008A47CB"/>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9EE"/>
    <w:rsid w:val="008D0AF2"/>
    <w:rsid w:val="008D0F24"/>
    <w:rsid w:val="008D169B"/>
    <w:rsid w:val="008D201C"/>
    <w:rsid w:val="008D2040"/>
    <w:rsid w:val="008D2F33"/>
    <w:rsid w:val="008D356F"/>
    <w:rsid w:val="008D4328"/>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7F"/>
    <w:rsid w:val="00922CFE"/>
    <w:rsid w:val="00922E2F"/>
    <w:rsid w:val="0092342A"/>
    <w:rsid w:val="00923629"/>
    <w:rsid w:val="009237AF"/>
    <w:rsid w:val="00923D36"/>
    <w:rsid w:val="00924145"/>
    <w:rsid w:val="00925858"/>
    <w:rsid w:val="00925E77"/>
    <w:rsid w:val="009261DD"/>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0D95"/>
    <w:rsid w:val="00951E66"/>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DF"/>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DDC"/>
    <w:rsid w:val="00997E8B"/>
    <w:rsid w:val="009A0322"/>
    <w:rsid w:val="009A08C9"/>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38E"/>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185"/>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0DE1"/>
    <w:rsid w:val="00A31666"/>
    <w:rsid w:val="00A31D94"/>
    <w:rsid w:val="00A3316F"/>
    <w:rsid w:val="00A333C2"/>
    <w:rsid w:val="00A33667"/>
    <w:rsid w:val="00A34233"/>
    <w:rsid w:val="00A34BB4"/>
    <w:rsid w:val="00A34BE2"/>
    <w:rsid w:val="00A3577B"/>
    <w:rsid w:val="00A35834"/>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97A3C"/>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051"/>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41A4"/>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4F"/>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EAB"/>
    <w:rsid w:val="00B22F46"/>
    <w:rsid w:val="00B231DB"/>
    <w:rsid w:val="00B23369"/>
    <w:rsid w:val="00B23DBF"/>
    <w:rsid w:val="00B24051"/>
    <w:rsid w:val="00B24D2B"/>
    <w:rsid w:val="00B25421"/>
    <w:rsid w:val="00B256B8"/>
    <w:rsid w:val="00B25D5C"/>
    <w:rsid w:val="00B2609B"/>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59EB"/>
    <w:rsid w:val="00B36ABA"/>
    <w:rsid w:val="00B36F8F"/>
    <w:rsid w:val="00B37330"/>
    <w:rsid w:val="00B37649"/>
    <w:rsid w:val="00B37662"/>
    <w:rsid w:val="00B377DD"/>
    <w:rsid w:val="00B3783F"/>
    <w:rsid w:val="00B37C64"/>
    <w:rsid w:val="00B37F54"/>
    <w:rsid w:val="00B4094F"/>
    <w:rsid w:val="00B40A88"/>
    <w:rsid w:val="00B40D47"/>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4ED7"/>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3C4"/>
    <w:rsid w:val="00B6449F"/>
    <w:rsid w:val="00B6482E"/>
    <w:rsid w:val="00B65D41"/>
    <w:rsid w:val="00B65F77"/>
    <w:rsid w:val="00B660FB"/>
    <w:rsid w:val="00B663F5"/>
    <w:rsid w:val="00B666BC"/>
    <w:rsid w:val="00B66D2C"/>
    <w:rsid w:val="00B70A9B"/>
    <w:rsid w:val="00B7107B"/>
    <w:rsid w:val="00B7124A"/>
    <w:rsid w:val="00B722FB"/>
    <w:rsid w:val="00B72507"/>
    <w:rsid w:val="00B72EDE"/>
    <w:rsid w:val="00B73EEC"/>
    <w:rsid w:val="00B7448D"/>
    <w:rsid w:val="00B74E7B"/>
    <w:rsid w:val="00B7516D"/>
    <w:rsid w:val="00B7527A"/>
    <w:rsid w:val="00B754B0"/>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31D"/>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090"/>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D1B"/>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E1F"/>
    <w:rsid w:val="00BE18B7"/>
    <w:rsid w:val="00BE1AFD"/>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CF4"/>
    <w:rsid w:val="00C10168"/>
    <w:rsid w:val="00C10BB2"/>
    <w:rsid w:val="00C1179C"/>
    <w:rsid w:val="00C11DEB"/>
    <w:rsid w:val="00C127B9"/>
    <w:rsid w:val="00C127DA"/>
    <w:rsid w:val="00C13000"/>
    <w:rsid w:val="00C137A0"/>
    <w:rsid w:val="00C13B9C"/>
    <w:rsid w:val="00C156CE"/>
    <w:rsid w:val="00C15E92"/>
    <w:rsid w:val="00C17386"/>
    <w:rsid w:val="00C17643"/>
    <w:rsid w:val="00C17E5C"/>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2931"/>
    <w:rsid w:val="00CB30B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265"/>
    <w:rsid w:val="00CC435E"/>
    <w:rsid w:val="00CC4EBE"/>
    <w:rsid w:val="00CC5261"/>
    <w:rsid w:val="00CC5FAD"/>
    <w:rsid w:val="00CC646C"/>
    <w:rsid w:val="00CC693F"/>
    <w:rsid w:val="00CC6E0B"/>
    <w:rsid w:val="00CC6EF5"/>
    <w:rsid w:val="00CC7654"/>
    <w:rsid w:val="00CC7AEE"/>
    <w:rsid w:val="00CC7C4D"/>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0C86"/>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D0"/>
    <w:rsid w:val="00D62D9B"/>
    <w:rsid w:val="00D63556"/>
    <w:rsid w:val="00D63FD8"/>
    <w:rsid w:val="00D6487E"/>
    <w:rsid w:val="00D64A01"/>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0D55"/>
    <w:rsid w:val="00D8110F"/>
    <w:rsid w:val="00D8131C"/>
    <w:rsid w:val="00D819A9"/>
    <w:rsid w:val="00D81B51"/>
    <w:rsid w:val="00D8230F"/>
    <w:rsid w:val="00D82997"/>
    <w:rsid w:val="00D82E70"/>
    <w:rsid w:val="00D837DA"/>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226"/>
    <w:rsid w:val="00DB524A"/>
    <w:rsid w:val="00DB5354"/>
    <w:rsid w:val="00DB5500"/>
    <w:rsid w:val="00DB5B58"/>
    <w:rsid w:val="00DB5C0F"/>
    <w:rsid w:val="00DB6882"/>
    <w:rsid w:val="00DB6AFD"/>
    <w:rsid w:val="00DB6F9E"/>
    <w:rsid w:val="00DB7162"/>
    <w:rsid w:val="00DB7188"/>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49A5"/>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A11"/>
    <w:rsid w:val="00DF3E1F"/>
    <w:rsid w:val="00DF4445"/>
    <w:rsid w:val="00DF483D"/>
    <w:rsid w:val="00DF513E"/>
    <w:rsid w:val="00DF53DD"/>
    <w:rsid w:val="00DF53EB"/>
    <w:rsid w:val="00DF5DBC"/>
    <w:rsid w:val="00DF5E57"/>
    <w:rsid w:val="00DF64ED"/>
    <w:rsid w:val="00DF66BA"/>
    <w:rsid w:val="00DF66D9"/>
    <w:rsid w:val="00DF67CA"/>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1CC9"/>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8DE"/>
    <w:rsid w:val="00E36478"/>
    <w:rsid w:val="00E3660B"/>
    <w:rsid w:val="00E3709C"/>
    <w:rsid w:val="00E402A1"/>
    <w:rsid w:val="00E407D2"/>
    <w:rsid w:val="00E40843"/>
    <w:rsid w:val="00E409A0"/>
    <w:rsid w:val="00E40AA3"/>
    <w:rsid w:val="00E40B34"/>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6C2"/>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84A"/>
    <w:rsid w:val="00E779D7"/>
    <w:rsid w:val="00E80450"/>
    <w:rsid w:val="00E8047E"/>
    <w:rsid w:val="00E8077B"/>
    <w:rsid w:val="00E80E60"/>
    <w:rsid w:val="00E81D8D"/>
    <w:rsid w:val="00E81FEB"/>
    <w:rsid w:val="00E821EA"/>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B5C"/>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1A50"/>
    <w:rsid w:val="00EC21BB"/>
    <w:rsid w:val="00EC237C"/>
    <w:rsid w:val="00EC28D1"/>
    <w:rsid w:val="00EC29CC"/>
    <w:rsid w:val="00EC2FF8"/>
    <w:rsid w:val="00EC363B"/>
    <w:rsid w:val="00EC3A14"/>
    <w:rsid w:val="00EC3F40"/>
    <w:rsid w:val="00EC3FEB"/>
    <w:rsid w:val="00EC444E"/>
    <w:rsid w:val="00EC4766"/>
    <w:rsid w:val="00EC4C1A"/>
    <w:rsid w:val="00EC5766"/>
    <w:rsid w:val="00EC7539"/>
    <w:rsid w:val="00EC7862"/>
    <w:rsid w:val="00EC796D"/>
    <w:rsid w:val="00ED0534"/>
    <w:rsid w:val="00ED0EF5"/>
    <w:rsid w:val="00ED13C4"/>
    <w:rsid w:val="00ED1544"/>
    <w:rsid w:val="00ED16DB"/>
    <w:rsid w:val="00ED1AC8"/>
    <w:rsid w:val="00ED1F4A"/>
    <w:rsid w:val="00ED1F4E"/>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737"/>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95F"/>
    <w:rsid w:val="00F64CE8"/>
    <w:rsid w:val="00F64D1D"/>
    <w:rsid w:val="00F65D26"/>
    <w:rsid w:val="00F6614C"/>
    <w:rsid w:val="00F664CE"/>
    <w:rsid w:val="00F664DB"/>
    <w:rsid w:val="00F66992"/>
    <w:rsid w:val="00F67204"/>
    <w:rsid w:val="00F672BB"/>
    <w:rsid w:val="00F67472"/>
    <w:rsid w:val="00F67AC3"/>
    <w:rsid w:val="00F701CA"/>
    <w:rsid w:val="00F7027D"/>
    <w:rsid w:val="00F703A4"/>
    <w:rsid w:val="00F703D1"/>
    <w:rsid w:val="00F70418"/>
    <w:rsid w:val="00F707CE"/>
    <w:rsid w:val="00F70D1C"/>
    <w:rsid w:val="00F7117D"/>
    <w:rsid w:val="00F7118D"/>
    <w:rsid w:val="00F716E5"/>
    <w:rsid w:val="00F71B15"/>
    <w:rsid w:val="00F71CB9"/>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30D"/>
    <w:rsid w:val="00FB349A"/>
    <w:rsid w:val="00FB39BF"/>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97A"/>
    <w:rsid w:val="00FC4A63"/>
    <w:rsid w:val="00FC4D12"/>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A37"/>
    <w:rsid w:val="00FD3FAC"/>
    <w:rsid w:val="00FD418C"/>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5F88"/>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D5688F"/>
  <w15:chartTrackingRefBased/>
  <w15:docId w15:val="{F38DD364-E35E-45D5-8DAA-A40AB92D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R4_bullets 字符,列表段落1 字符,—ño’i—Ž 字符,¥¡¡¡¡ì¬º¥¹¥È¶ÎÂä 字符,ÁÐ³ö¶ÎÂä 字符,¥ê¥¹¥È¶ÎÂä 字符,1st level - Bullet List Paragraph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R4_bullets,列表段落1,—ño’i—Ž,¥¡¡¡¡ì¬º¥¹¥È¶ÎÂä,ÁÐ³ö¶ÎÂä,¥ê¥¹¥È¶ÎÂä,1st level - Bullet List Paragraph,Lettre d'introduction,Paragrafo elenco,Normal bullet 2,Bullet list,清單段落1,목록단락,列"/>
    <w:basedOn w:val="a1"/>
    <w:uiPriority w:val="34"/>
    <w:qFormat/>
    <w:rsid w:val="00E821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4235082">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08019703">
      <w:bodyDiv w:val="1"/>
      <w:marLeft w:val="0"/>
      <w:marRight w:val="0"/>
      <w:marTop w:val="0"/>
      <w:marBottom w:val="0"/>
      <w:divBdr>
        <w:top w:val="none" w:sz="0" w:space="0" w:color="auto"/>
        <w:left w:val="none" w:sz="0" w:space="0" w:color="auto"/>
        <w:bottom w:val="none" w:sz="0" w:space="0" w:color="auto"/>
        <w:right w:val="none" w:sz="0" w:space="0" w:color="auto"/>
      </w:divBdr>
      <w:divsChild>
        <w:div w:id="1234126233">
          <w:marLeft w:val="360"/>
          <w:marRight w:val="0"/>
          <w:marTop w:val="200"/>
          <w:marBottom w:val="0"/>
          <w:divBdr>
            <w:top w:val="none" w:sz="0" w:space="0" w:color="auto"/>
            <w:left w:val="none" w:sz="0" w:space="0" w:color="auto"/>
            <w:bottom w:val="none" w:sz="0" w:space="0" w:color="auto"/>
            <w:right w:val="none" w:sz="0" w:space="0" w:color="auto"/>
          </w:divBdr>
        </w:div>
        <w:div w:id="407389570">
          <w:marLeft w:val="1080"/>
          <w:marRight w:val="0"/>
          <w:marTop w:val="100"/>
          <w:marBottom w:val="0"/>
          <w:divBdr>
            <w:top w:val="none" w:sz="0" w:space="0" w:color="auto"/>
            <w:left w:val="none" w:sz="0" w:space="0" w:color="auto"/>
            <w:bottom w:val="none" w:sz="0" w:space="0" w:color="auto"/>
            <w:right w:val="none" w:sz="0" w:space="0" w:color="auto"/>
          </w:divBdr>
        </w:div>
        <w:div w:id="50420598">
          <w:marLeft w:val="1080"/>
          <w:marRight w:val="0"/>
          <w:marTop w:val="100"/>
          <w:marBottom w:val="0"/>
          <w:divBdr>
            <w:top w:val="none" w:sz="0" w:space="0" w:color="auto"/>
            <w:left w:val="none" w:sz="0" w:space="0" w:color="auto"/>
            <w:bottom w:val="none" w:sz="0" w:space="0" w:color="auto"/>
            <w:right w:val="none" w:sz="0" w:space="0" w:color="auto"/>
          </w:divBdr>
        </w:div>
        <w:div w:id="1702242107">
          <w:marLeft w:val="1080"/>
          <w:marRight w:val="0"/>
          <w:marTop w:val="100"/>
          <w:marBottom w:val="0"/>
          <w:divBdr>
            <w:top w:val="none" w:sz="0" w:space="0" w:color="auto"/>
            <w:left w:val="none" w:sz="0" w:space="0" w:color="auto"/>
            <w:bottom w:val="none" w:sz="0" w:space="0" w:color="auto"/>
            <w:right w:val="none" w:sz="0" w:space="0" w:color="auto"/>
          </w:divBdr>
        </w:div>
        <w:div w:id="1195536077">
          <w:marLeft w:val="1080"/>
          <w:marRight w:val="0"/>
          <w:marTop w:val="100"/>
          <w:marBottom w:val="0"/>
          <w:divBdr>
            <w:top w:val="none" w:sz="0" w:space="0" w:color="auto"/>
            <w:left w:val="none" w:sz="0" w:space="0" w:color="auto"/>
            <w:bottom w:val="none" w:sz="0" w:space="0" w:color="auto"/>
            <w:right w:val="none" w:sz="0" w:space="0" w:color="auto"/>
          </w:divBdr>
        </w:div>
        <w:div w:id="287590016">
          <w:marLeft w:val="1080"/>
          <w:marRight w:val="0"/>
          <w:marTop w:val="100"/>
          <w:marBottom w:val="0"/>
          <w:divBdr>
            <w:top w:val="none" w:sz="0" w:space="0" w:color="auto"/>
            <w:left w:val="none" w:sz="0" w:space="0" w:color="auto"/>
            <w:bottom w:val="none" w:sz="0" w:space="0" w:color="auto"/>
            <w:right w:val="none" w:sz="0" w:space="0" w:color="auto"/>
          </w:divBdr>
        </w:div>
        <w:div w:id="1144856470">
          <w:marLeft w:val="360"/>
          <w:marRight w:val="0"/>
          <w:marTop w:val="200"/>
          <w:marBottom w:val="0"/>
          <w:divBdr>
            <w:top w:val="none" w:sz="0" w:space="0" w:color="auto"/>
            <w:left w:val="none" w:sz="0" w:space="0" w:color="auto"/>
            <w:bottom w:val="none" w:sz="0" w:space="0" w:color="auto"/>
            <w:right w:val="none" w:sz="0" w:space="0" w:color="auto"/>
          </w:divBdr>
        </w:div>
        <w:div w:id="1864703550">
          <w:marLeft w:val="1080"/>
          <w:marRight w:val="0"/>
          <w:marTop w:val="100"/>
          <w:marBottom w:val="0"/>
          <w:divBdr>
            <w:top w:val="none" w:sz="0" w:space="0" w:color="auto"/>
            <w:left w:val="none" w:sz="0" w:space="0" w:color="auto"/>
            <w:bottom w:val="none" w:sz="0" w:space="0" w:color="auto"/>
            <w:right w:val="none" w:sz="0" w:space="0" w:color="auto"/>
          </w:divBdr>
        </w:div>
        <w:div w:id="89200383">
          <w:marLeft w:val="1080"/>
          <w:marRight w:val="0"/>
          <w:marTop w:val="100"/>
          <w:marBottom w:val="0"/>
          <w:divBdr>
            <w:top w:val="none" w:sz="0" w:space="0" w:color="auto"/>
            <w:left w:val="none" w:sz="0" w:space="0" w:color="auto"/>
            <w:bottom w:val="none" w:sz="0" w:space="0" w:color="auto"/>
            <w:right w:val="none" w:sz="0" w:space="0" w:color="auto"/>
          </w:divBdr>
        </w:div>
        <w:div w:id="1371370747">
          <w:marLeft w:val="1080"/>
          <w:marRight w:val="0"/>
          <w:marTop w:val="100"/>
          <w:marBottom w:val="0"/>
          <w:divBdr>
            <w:top w:val="none" w:sz="0" w:space="0" w:color="auto"/>
            <w:left w:val="none" w:sz="0" w:space="0" w:color="auto"/>
            <w:bottom w:val="none" w:sz="0" w:space="0" w:color="auto"/>
            <w:right w:val="none" w:sz="0" w:space="0" w:color="auto"/>
          </w:divBdr>
        </w:div>
        <w:div w:id="463694093">
          <w:marLeft w:val="1080"/>
          <w:marRight w:val="0"/>
          <w:marTop w:val="1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40995604">
      <w:bodyDiv w:val="1"/>
      <w:marLeft w:val="0"/>
      <w:marRight w:val="0"/>
      <w:marTop w:val="0"/>
      <w:marBottom w:val="0"/>
      <w:divBdr>
        <w:top w:val="none" w:sz="0" w:space="0" w:color="auto"/>
        <w:left w:val="none" w:sz="0" w:space="0" w:color="auto"/>
        <w:bottom w:val="none" w:sz="0" w:space="0" w:color="auto"/>
        <w:right w:val="none" w:sz="0" w:space="0" w:color="auto"/>
      </w:divBdr>
      <w:divsChild>
        <w:div w:id="923295223">
          <w:marLeft w:val="360"/>
          <w:marRight w:val="0"/>
          <w:marTop w:val="200"/>
          <w:marBottom w:val="0"/>
          <w:divBdr>
            <w:top w:val="none" w:sz="0" w:space="0" w:color="auto"/>
            <w:left w:val="none" w:sz="0" w:space="0" w:color="auto"/>
            <w:bottom w:val="none" w:sz="0" w:space="0" w:color="auto"/>
            <w:right w:val="none" w:sz="0" w:space="0" w:color="auto"/>
          </w:divBdr>
        </w:div>
        <w:div w:id="1064066910">
          <w:marLeft w:val="1080"/>
          <w:marRight w:val="0"/>
          <w:marTop w:val="100"/>
          <w:marBottom w:val="0"/>
          <w:divBdr>
            <w:top w:val="none" w:sz="0" w:space="0" w:color="auto"/>
            <w:left w:val="none" w:sz="0" w:space="0" w:color="auto"/>
            <w:bottom w:val="none" w:sz="0" w:space="0" w:color="auto"/>
            <w:right w:val="none" w:sz="0" w:space="0" w:color="auto"/>
          </w:divBdr>
        </w:div>
        <w:div w:id="940645852">
          <w:marLeft w:val="1080"/>
          <w:marRight w:val="0"/>
          <w:marTop w:val="100"/>
          <w:marBottom w:val="0"/>
          <w:divBdr>
            <w:top w:val="none" w:sz="0" w:space="0" w:color="auto"/>
            <w:left w:val="none" w:sz="0" w:space="0" w:color="auto"/>
            <w:bottom w:val="none" w:sz="0" w:space="0" w:color="auto"/>
            <w:right w:val="none" w:sz="0" w:space="0" w:color="auto"/>
          </w:divBdr>
        </w:div>
        <w:div w:id="1960911408">
          <w:marLeft w:val="1080"/>
          <w:marRight w:val="0"/>
          <w:marTop w:val="100"/>
          <w:marBottom w:val="0"/>
          <w:divBdr>
            <w:top w:val="none" w:sz="0" w:space="0" w:color="auto"/>
            <w:left w:val="none" w:sz="0" w:space="0" w:color="auto"/>
            <w:bottom w:val="none" w:sz="0" w:space="0" w:color="auto"/>
            <w:right w:val="none" w:sz="0" w:space="0" w:color="auto"/>
          </w:divBdr>
        </w:div>
        <w:div w:id="201944549">
          <w:marLeft w:val="1080"/>
          <w:marRight w:val="0"/>
          <w:marTop w:val="100"/>
          <w:marBottom w:val="0"/>
          <w:divBdr>
            <w:top w:val="none" w:sz="0" w:space="0" w:color="auto"/>
            <w:left w:val="none" w:sz="0" w:space="0" w:color="auto"/>
            <w:bottom w:val="none" w:sz="0" w:space="0" w:color="auto"/>
            <w:right w:val="none" w:sz="0" w:space="0" w:color="auto"/>
          </w:divBdr>
        </w:div>
        <w:div w:id="2133743630">
          <w:marLeft w:val="360"/>
          <w:marRight w:val="0"/>
          <w:marTop w:val="200"/>
          <w:marBottom w:val="0"/>
          <w:divBdr>
            <w:top w:val="none" w:sz="0" w:space="0" w:color="auto"/>
            <w:left w:val="none" w:sz="0" w:space="0" w:color="auto"/>
            <w:bottom w:val="none" w:sz="0" w:space="0" w:color="auto"/>
            <w:right w:val="none" w:sz="0" w:space="0" w:color="auto"/>
          </w:divBdr>
        </w:div>
        <w:div w:id="904798762">
          <w:marLeft w:val="1080"/>
          <w:marRight w:val="0"/>
          <w:marTop w:val="100"/>
          <w:marBottom w:val="0"/>
          <w:divBdr>
            <w:top w:val="none" w:sz="0" w:space="0" w:color="auto"/>
            <w:left w:val="none" w:sz="0" w:space="0" w:color="auto"/>
            <w:bottom w:val="none" w:sz="0" w:space="0" w:color="auto"/>
            <w:right w:val="none" w:sz="0" w:space="0" w:color="auto"/>
          </w:divBdr>
        </w:div>
        <w:div w:id="314340449">
          <w:marLeft w:val="1080"/>
          <w:marRight w:val="0"/>
          <w:marTop w:val="100"/>
          <w:marBottom w:val="0"/>
          <w:divBdr>
            <w:top w:val="none" w:sz="0" w:space="0" w:color="auto"/>
            <w:left w:val="none" w:sz="0" w:space="0" w:color="auto"/>
            <w:bottom w:val="none" w:sz="0" w:space="0" w:color="auto"/>
            <w:right w:val="none" w:sz="0" w:space="0" w:color="auto"/>
          </w:divBdr>
        </w:div>
        <w:div w:id="261501566">
          <w:marLeft w:val="360"/>
          <w:marRight w:val="0"/>
          <w:marTop w:val="200"/>
          <w:marBottom w:val="0"/>
          <w:divBdr>
            <w:top w:val="none" w:sz="0" w:space="0" w:color="auto"/>
            <w:left w:val="none" w:sz="0" w:space="0" w:color="auto"/>
            <w:bottom w:val="none" w:sz="0" w:space="0" w:color="auto"/>
            <w:right w:val="none" w:sz="0" w:space="0" w:color="auto"/>
          </w:divBdr>
        </w:div>
        <w:div w:id="1353074721">
          <w:marLeft w:val="1080"/>
          <w:marRight w:val="0"/>
          <w:marTop w:val="100"/>
          <w:marBottom w:val="0"/>
          <w:divBdr>
            <w:top w:val="none" w:sz="0" w:space="0" w:color="auto"/>
            <w:left w:val="none" w:sz="0" w:space="0" w:color="auto"/>
            <w:bottom w:val="none" w:sz="0" w:space="0" w:color="auto"/>
            <w:right w:val="none" w:sz="0" w:space="0" w:color="auto"/>
          </w:divBdr>
        </w:div>
        <w:div w:id="188957657">
          <w:marLeft w:val="1080"/>
          <w:marRight w:val="0"/>
          <w:marTop w:val="100"/>
          <w:marBottom w:val="0"/>
          <w:divBdr>
            <w:top w:val="none" w:sz="0" w:space="0" w:color="auto"/>
            <w:left w:val="none" w:sz="0" w:space="0" w:color="auto"/>
            <w:bottom w:val="none" w:sz="0" w:space="0" w:color="auto"/>
            <w:right w:val="none" w:sz="0" w:space="0" w:color="auto"/>
          </w:divBdr>
        </w:div>
        <w:div w:id="1402097035">
          <w:marLeft w:val="360"/>
          <w:marRight w:val="0"/>
          <w:marTop w:val="200"/>
          <w:marBottom w:val="0"/>
          <w:divBdr>
            <w:top w:val="none" w:sz="0" w:space="0" w:color="auto"/>
            <w:left w:val="none" w:sz="0" w:space="0" w:color="auto"/>
            <w:bottom w:val="none" w:sz="0" w:space="0" w:color="auto"/>
            <w:right w:val="none" w:sz="0" w:space="0" w:color="auto"/>
          </w:divBdr>
        </w:div>
        <w:div w:id="221186264">
          <w:marLeft w:val="360"/>
          <w:marRight w:val="0"/>
          <w:marTop w:val="200"/>
          <w:marBottom w:val="0"/>
          <w:divBdr>
            <w:top w:val="none" w:sz="0" w:space="0" w:color="auto"/>
            <w:left w:val="none" w:sz="0" w:space="0" w:color="auto"/>
            <w:bottom w:val="none" w:sz="0" w:space="0" w:color="auto"/>
            <w:right w:val="none" w:sz="0" w:space="0" w:color="auto"/>
          </w:divBdr>
        </w:div>
      </w:divsChild>
    </w:div>
    <w:div w:id="1145856705">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83375521">
      <w:bodyDiv w:val="1"/>
      <w:marLeft w:val="0"/>
      <w:marRight w:val="0"/>
      <w:marTop w:val="0"/>
      <w:marBottom w:val="0"/>
      <w:divBdr>
        <w:top w:val="none" w:sz="0" w:space="0" w:color="auto"/>
        <w:left w:val="none" w:sz="0" w:space="0" w:color="auto"/>
        <w:bottom w:val="none" w:sz="0" w:space="0" w:color="auto"/>
        <w:right w:val="none" w:sz="0" w:space="0" w:color="auto"/>
      </w:divBdr>
      <w:divsChild>
        <w:div w:id="311834653">
          <w:marLeft w:val="360"/>
          <w:marRight w:val="0"/>
          <w:marTop w:val="200"/>
          <w:marBottom w:val="0"/>
          <w:divBdr>
            <w:top w:val="none" w:sz="0" w:space="0" w:color="auto"/>
            <w:left w:val="none" w:sz="0" w:space="0" w:color="auto"/>
            <w:bottom w:val="none" w:sz="0" w:space="0" w:color="auto"/>
            <w:right w:val="none" w:sz="0" w:space="0" w:color="auto"/>
          </w:divBdr>
        </w:div>
        <w:div w:id="1750271806">
          <w:marLeft w:val="1080"/>
          <w:marRight w:val="0"/>
          <w:marTop w:val="100"/>
          <w:marBottom w:val="0"/>
          <w:divBdr>
            <w:top w:val="none" w:sz="0" w:space="0" w:color="auto"/>
            <w:left w:val="none" w:sz="0" w:space="0" w:color="auto"/>
            <w:bottom w:val="none" w:sz="0" w:space="0" w:color="auto"/>
            <w:right w:val="none" w:sz="0" w:space="0" w:color="auto"/>
          </w:divBdr>
        </w:div>
        <w:div w:id="1587882592">
          <w:marLeft w:val="1080"/>
          <w:marRight w:val="0"/>
          <w:marTop w:val="100"/>
          <w:marBottom w:val="0"/>
          <w:divBdr>
            <w:top w:val="none" w:sz="0" w:space="0" w:color="auto"/>
            <w:left w:val="none" w:sz="0" w:space="0" w:color="auto"/>
            <w:bottom w:val="none" w:sz="0" w:space="0" w:color="auto"/>
            <w:right w:val="none" w:sz="0" w:space="0" w:color="auto"/>
          </w:divBdr>
        </w:div>
        <w:div w:id="1600914356">
          <w:marLeft w:val="1080"/>
          <w:marRight w:val="0"/>
          <w:marTop w:val="100"/>
          <w:marBottom w:val="0"/>
          <w:divBdr>
            <w:top w:val="none" w:sz="0" w:space="0" w:color="auto"/>
            <w:left w:val="none" w:sz="0" w:space="0" w:color="auto"/>
            <w:bottom w:val="none" w:sz="0" w:space="0" w:color="auto"/>
            <w:right w:val="none" w:sz="0" w:space="0" w:color="auto"/>
          </w:divBdr>
        </w:div>
        <w:div w:id="1135760011">
          <w:marLeft w:val="1080"/>
          <w:marRight w:val="0"/>
          <w:marTop w:val="100"/>
          <w:marBottom w:val="0"/>
          <w:divBdr>
            <w:top w:val="none" w:sz="0" w:space="0" w:color="auto"/>
            <w:left w:val="none" w:sz="0" w:space="0" w:color="auto"/>
            <w:bottom w:val="none" w:sz="0" w:space="0" w:color="auto"/>
            <w:right w:val="none" w:sz="0" w:space="0" w:color="auto"/>
          </w:divBdr>
        </w:div>
        <w:div w:id="1695574631">
          <w:marLeft w:val="1800"/>
          <w:marRight w:val="0"/>
          <w:marTop w:val="100"/>
          <w:marBottom w:val="0"/>
          <w:divBdr>
            <w:top w:val="none" w:sz="0" w:space="0" w:color="auto"/>
            <w:left w:val="none" w:sz="0" w:space="0" w:color="auto"/>
            <w:bottom w:val="none" w:sz="0" w:space="0" w:color="auto"/>
            <w:right w:val="none" w:sz="0" w:space="0" w:color="auto"/>
          </w:divBdr>
        </w:div>
        <w:div w:id="510140751">
          <w:marLeft w:val="1080"/>
          <w:marRight w:val="0"/>
          <w:marTop w:val="100"/>
          <w:marBottom w:val="0"/>
          <w:divBdr>
            <w:top w:val="none" w:sz="0" w:space="0" w:color="auto"/>
            <w:left w:val="none" w:sz="0" w:space="0" w:color="auto"/>
            <w:bottom w:val="none" w:sz="0" w:space="0" w:color="auto"/>
            <w:right w:val="none" w:sz="0" w:space="0" w:color="auto"/>
          </w:divBdr>
        </w:div>
        <w:div w:id="1197893164">
          <w:marLeft w:val="1800"/>
          <w:marRight w:val="0"/>
          <w:marTop w:val="100"/>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1D7066-7092-4725-B78D-14F509BE6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1160</TotalTime>
  <Pages>1</Pages>
  <Words>827</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27</cp:revision>
  <cp:lastPrinted>2010-01-07T02:23:00Z</cp:lastPrinted>
  <dcterms:created xsi:type="dcterms:W3CDTF">2024-08-09T09:41:00Z</dcterms:created>
  <dcterms:modified xsi:type="dcterms:W3CDTF">2024-10-07T08:36:00Z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